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9CDA5" w14:textId="1927C0B9" w:rsidR="00C97AA1" w:rsidRDefault="0099575F" w:rsidP="00C97AA1">
      <w:pPr>
        <w:jc w:val="center"/>
        <w:rPr>
          <w:b/>
          <w:bCs/>
          <w:sz w:val="44"/>
          <w:szCs w:val="36"/>
        </w:rPr>
      </w:pPr>
      <w:r w:rsidRPr="0099575F">
        <w:rPr>
          <w:b/>
          <w:bCs/>
          <w:sz w:val="44"/>
          <w:szCs w:val="36"/>
        </w:rPr>
        <w:t>Enhanced Super Resolution Generative Adversarial Network (ESRGAN) for improving the resolution of micro-CT images</w:t>
      </w:r>
    </w:p>
    <w:p w14:paraId="25194111" w14:textId="77777777" w:rsidR="0099575F" w:rsidRDefault="0099575F" w:rsidP="00C97AA1">
      <w:pPr>
        <w:jc w:val="center"/>
        <w:rPr>
          <w:b/>
          <w:bCs/>
          <w:sz w:val="36"/>
          <w:szCs w:val="36"/>
        </w:rPr>
      </w:pPr>
    </w:p>
    <w:p w14:paraId="127D7DF3" w14:textId="77777777" w:rsidR="00F4777B" w:rsidRPr="00F4777B" w:rsidRDefault="00F4777B" w:rsidP="00F4777B">
      <w:pPr>
        <w:ind w:right="-174"/>
        <w:rPr>
          <w:rFonts w:ascii="Times" w:hAnsi="Times" w:cs="Times"/>
          <w:bCs/>
          <w:i/>
          <w:sz w:val="20"/>
        </w:rPr>
      </w:pPr>
    </w:p>
    <w:p w14:paraId="73558241" w14:textId="37484E71" w:rsidR="00F4777B" w:rsidRPr="0099575F" w:rsidRDefault="00F4777B" w:rsidP="00F4777B">
      <w:pPr>
        <w:ind w:right="-174"/>
        <w:rPr>
          <w:rFonts w:ascii="Times" w:hAnsi="Times" w:cs="Times"/>
          <w:bCs/>
          <w:i/>
          <w:sz w:val="20"/>
          <w:lang w:val="es-ES"/>
        </w:rPr>
      </w:pPr>
      <w:r w:rsidRPr="0099575F">
        <w:rPr>
          <w:rFonts w:ascii="Times" w:hAnsi="Times" w:cs="Times"/>
          <w:bCs/>
          <w:i/>
          <w:sz w:val="20"/>
          <w:lang w:val="es-ES"/>
        </w:rPr>
        <w:t xml:space="preserve">Mohamed Regaieg1*, </w:t>
      </w:r>
      <w:r w:rsidR="00906B78" w:rsidRPr="0099575F">
        <w:rPr>
          <w:rFonts w:ascii="Times" w:hAnsi="Times" w:cs="Times"/>
          <w:bCs/>
          <w:i/>
          <w:sz w:val="20"/>
          <w:lang w:val="es-ES"/>
        </w:rPr>
        <w:t>Zakaria El Abid 2</w:t>
      </w:r>
      <w:r w:rsidRPr="0099575F">
        <w:rPr>
          <w:rFonts w:ascii="Times" w:hAnsi="Times" w:cs="Times"/>
          <w:bCs/>
          <w:i/>
          <w:sz w:val="20"/>
          <w:lang w:val="es-ES"/>
        </w:rPr>
        <w:t>,</w:t>
      </w:r>
      <w:r w:rsidR="00906B78" w:rsidRPr="0099575F">
        <w:rPr>
          <w:rFonts w:ascii="Times" w:hAnsi="Times" w:cs="Times"/>
          <w:bCs/>
          <w:i/>
          <w:sz w:val="20"/>
          <w:lang w:val="es-ES"/>
        </w:rPr>
        <w:t xml:space="preserve"> Erwann Camberlin 3</w:t>
      </w:r>
    </w:p>
    <w:p w14:paraId="7A3B2A08" w14:textId="77777777" w:rsidR="00F4777B" w:rsidRPr="0099575F" w:rsidRDefault="00F4777B" w:rsidP="00F4777B">
      <w:pPr>
        <w:ind w:right="-174"/>
        <w:rPr>
          <w:rFonts w:ascii="Times" w:hAnsi="Times" w:cs="Times"/>
          <w:bCs/>
          <w:i/>
          <w:sz w:val="20"/>
          <w:lang w:val="es-ES"/>
        </w:rPr>
      </w:pPr>
    </w:p>
    <w:p w14:paraId="3272F38C" w14:textId="33C7274B" w:rsidR="00F4777B" w:rsidRPr="0099575F" w:rsidRDefault="00F4777B" w:rsidP="00F4777B">
      <w:pPr>
        <w:ind w:right="-174"/>
        <w:rPr>
          <w:rFonts w:ascii="Times" w:hAnsi="Times" w:cs="Times"/>
          <w:bCs/>
          <w:i/>
          <w:sz w:val="20"/>
          <w:lang w:val="es-ES"/>
        </w:rPr>
      </w:pPr>
      <w:r w:rsidRPr="0099575F">
        <w:rPr>
          <w:rFonts w:ascii="Times" w:hAnsi="Times" w:cs="Times"/>
          <w:bCs/>
          <w:i/>
          <w:sz w:val="20"/>
          <w:lang w:val="es-ES"/>
        </w:rPr>
        <w:t>1 TotalEnergies SE</w:t>
      </w:r>
    </w:p>
    <w:p w14:paraId="7EF6061E" w14:textId="78A55639" w:rsidR="00F4777B" w:rsidRPr="0099575F" w:rsidRDefault="00F4777B" w:rsidP="00F4777B">
      <w:pPr>
        <w:ind w:right="-174"/>
        <w:rPr>
          <w:rFonts w:ascii="Times" w:hAnsi="Times" w:cs="Times"/>
          <w:bCs/>
          <w:i/>
          <w:sz w:val="20"/>
          <w:lang w:val="es-ES"/>
        </w:rPr>
      </w:pPr>
      <w:r w:rsidRPr="0099575F">
        <w:rPr>
          <w:rFonts w:ascii="Times" w:hAnsi="Times" w:cs="Times"/>
          <w:bCs/>
          <w:i/>
          <w:sz w:val="20"/>
          <w:lang w:val="es-ES"/>
        </w:rPr>
        <w:t>2</w:t>
      </w:r>
      <w:r w:rsidR="00906B78" w:rsidRPr="0099575F">
        <w:rPr>
          <w:rFonts w:ascii="Times" w:hAnsi="Times" w:cs="Times"/>
          <w:bCs/>
          <w:i/>
          <w:sz w:val="20"/>
          <w:lang w:val="es-ES"/>
        </w:rPr>
        <w:t xml:space="preserve"> ENSTA</w:t>
      </w:r>
    </w:p>
    <w:p w14:paraId="3F5598F2" w14:textId="169850FF" w:rsidR="00F4777B" w:rsidRPr="00906B78" w:rsidRDefault="00F4777B" w:rsidP="00F4777B">
      <w:pPr>
        <w:ind w:right="-174"/>
        <w:rPr>
          <w:rFonts w:ascii="Times" w:hAnsi="Times" w:cs="Times"/>
          <w:bCs/>
          <w:i/>
          <w:sz w:val="20"/>
        </w:rPr>
      </w:pPr>
      <w:r w:rsidRPr="00906B78">
        <w:rPr>
          <w:rFonts w:ascii="Times" w:hAnsi="Times" w:cs="Times"/>
          <w:bCs/>
          <w:i/>
          <w:sz w:val="20"/>
        </w:rPr>
        <w:t xml:space="preserve">3 </w:t>
      </w:r>
      <w:r w:rsidR="00906B78">
        <w:rPr>
          <w:rFonts w:ascii="Times" w:hAnsi="Times" w:cs="Times"/>
          <w:bCs/>
          <w:i/>
          <w:sz w:val="20"/>
        </w:rPr>
        <w:t>ENSEIRB-MATMECA</w:t>
      </w:r>
    </w:p>
    <w:p w14:paraId="224179DE" w14:textId="77777777" w:rsidR="00C97AA1" w:rsidRDefault="00C97AA1" w:rsidP="00C97AA1">
      <w:pPr>
        <w:jc w:val="both"/>
        <w:rPr>
          <w:b/>
          <w:sz w:val="28"/>
        </w:rPr>
      </w:pPr>
    </w:p>
    <w:p w14:paraId="44ED04F4" w14:textId="77777777" w:rsidR="00C97AA1" w:rsidRPr="000E1BCB" w:rsidRDefault="00C97AA1" w:rsidP="00C97AA1">
      <w:pPr>
        <w:jc w:val="both"/>
        <w:rPr>
          <w:b/>
          <w:sz w:val="28"/>
        </w:rPr>
      </w:pPr>
      <w:r w:rsidRPr="000E1BCB">
        <w:rPr>
          <w:b/>
          <w:sz w:val="28"/>
        </w:rPr>
        <w:t>Abstract</w:t>
      </w:r>
    </w:p>
    <w:p w14:paraId="53E3CD2C" w14:textId="77777777" w:rsidR="000E1BCB" w:rsidRDefault="000E1BCB" w:rsidP="000E1BCB">
      <w:pPr>
        <w:jc w:val="both"/>
        <w:rPr>
          <w:sz w:val="22"/>
        </w:rPr>
      </w:pPr>
    </w:p>
    <w:p w14:paraId="6542E43A" w14:textId="77777777" w:rsidR="000E1BCB" w:rsidRDefault="000E1BCB" w:rsidP="000E1BCB">
      <w:pPr>
        <w:jc w:val="both"/>
        <w:rPr>
          <w:sz w:val="22"/>
        </w:rPr>
      </w:pPr>
    </w:p>
    <w:p w14:paraId="2058ED36" w14:textId="1091B9AE" w:rsidR="006E54D6" w:rsidRDefault="00256166" w:rsidP="00227B5D">
      <w:pPr>
        <w:jc w:val="both"/>
      </w:pPr>
      <w:r>
        <w:t xml:space="preserve">Digital Rock Physics (DRP) provides a new way to compute rock properties and carry-out related sensitivity analysis to complement laboratory measurements. In DRP, the first step is to obtain micro-CT images of a rock, this is then followed by segmenting the images to distinguish the rock from the pore space, and finally flow simulations are performed to compute advanced rock properties such as relative permeability and capillary pressure.  Yang et al (2017) have proved that when the geometry of the pore space is well characterized, the flow simulators perform well. </w:t>
      </w:r>
    </w:p>
    <w:p w14:paraId="672F4287" w14:textId="77777777" w:rsidR="006E54D6" w:rsidRDefault="006E54D6" w:rsidP="00227B5D">
      <w:pPr>
        <w:jc w:val="both"/>
      </w:pPr>
    </w:p>
    <w:p w14:paraId="54202360" w14:textId="08CB719E" w:rsidR="005508B3" w:rsidRDefault="00256166" w:rsidP="00227B5D">
      <w:pPr>
        <w:jc w:val="both"/>
      </w:pPr>
      <w:r>
        <w:t>However, the geometry of a real rock is not always well characterized, notably due to the lack of image resolution which in turn introduces uncertainty in the pore</w:t>
      </w:r>
      <w:r w:rsidR="00785B86">
        <w:t>/throat</w:t>
      </w:r>
      <w:r>
        <w:t xml:space="preserve"> </w:t>
      </w:r>
      <w:r w:rsidR="00785B86">
        <w:t>geometry</w:t>
      </w:r>
      <w:r>
        <w:t xml:space="preserve"> and consequently introduces errors in rock property computations. Furthermore, during image acquisition a compromise is often made between the speed of the image acquisition, the size of the scanned volume and the resolution obtained: increasing the resolution decreases the field of view, in turn limiting the quantity of information obtained from the image and thus making DRP simulations less representative.</w:t>
      </w:r>
    </w:p>
    <w:p w14:paraId="57F0661B" w14:textId="62884FE9" w:rsidR="005508B3" w:rsidRDefault="005508B3" w:rsidP="00227B5D">
      <w:pPr>
        <w:jc w:val="both"/>
      </w:pPr>
    </w:p>
    <w:p w14:paraId="7245FF50" w14:textId="789A2D1E" w:rsidR="00256166" w:rsidRDefault="00256166" w:rsidP="00227B5D">
      <w:pPr>
        <w:jc w:val="both"/>
      </w:pPr>
      <w:r>
        <w:t xml:space="preserve">Recent advances in deep learning methods have led to major advances in computer vision techniques, and notably in the field of super-resolution imaging. </w:t>
      </w:r>
      <w:r w:rsidRPr="00320F02">
        <w:t xml:space="preserve">In this talk, </w:t>
      </w:r>
      <w:r>
        <w:t>we present such a strategy to digitally increase the resolution of 3D micro-CT using a deep learning approach called Enhanced Super-Resolution Generative Adversarial Network (ESRGAN). W</w:t>
      </w:r>
      <w:r w:rsidRPr="00320F02">
        <w:t xml:space="preserve">e first describe the </w:t>
      </w:r>
      <w:r>
        <w:t>ESRGAN method and our training strategy. Subsequently, we apply it to 3D micro-CT images of several rocks, and we compare the super-resolved images against the high-resolution ones</w:t>
      </w:r>
      <w:r w:rsidR="00785B86">
        <w:t xml:space="preserve"> of the same rock volume</w:t>
      </w:r>
      <w:r>
        <w:t xml:space="preserve">. </w:t>
      </w:r>
      <w:r w:rsidR="00785B86">
        <w:t xml:space="preserve"> </w:t>
      </w:r>
    </w:p>
    <w:p w14:paraId="02609721" w14:textId="77777777" w:rsidR="00256166" w:rsidRDefault="00256166" w:rsidP="00227B5D">
      <w:pPr>
        <w:jc w:val="both"/>
      </w:pPr>
    </w:p>
    <w:p w14:paraId="4E92723A" w14:textId="77777777" w:rsidR="00256166" w:rsidRDefault="00256166" w:rsidP="00227B5D">
      <w:pPr>
        <w:jc w:val="both"/>
      </w:pPr>
      <w:r>
        <w:t xml:space="preserve">This is followed by presenting flow simulations performed on low resolution and super-resolved images showing how the ESRGAN can considerably improve the accuracy of DRP simulations. </w:t>
      </w:r>
    </w:p>
    <w:p w14:paraId="5CF4BAFF" w14:textId="05F5EE2D" w:rsidR="00256166" w:rsidRDefault="00256166" w:rsidP="00227B5D">
      <w:pPr>
        <w:jc w:val="both"/>
      </w:pPr>
      <w:r>
        <w:t>Large super</w:t>
      </w:r>
      <w:r w:rsidR="00F808FD">
        <w:t>-</w:t>
      </w:r>
      <w:r>
        <w:t xml:space="preserve">resolved images up to 4000 voxels cube were produced and the technique showed </w:t>
      </w:r>
    </w:p>
    <w:p w14:paraId="7D10352C" w14:textId="05DCE2D0" w:rsidR="00256166" w:rsidRDefault="00256166" w:rsidP="00227B5D">
      <w:pPr>
        <w:jc w:val="both"/>
      </w:pPr>
      <w:r>
        <w:t>promising results when applied on low resolution micro-CT images. The super</w:t>
      </w:r>
      <w:r w:rsidR="00F808FD">
        <w:t>-</w:t>
      </w:r>
      <w:r>
        <w:t>resolved images were more realistic visually and produced better single and multiphase flow simulations results.</w:t>
      </w:r>
    </w:p>
    <w:p w14:paraId="226E7FA7" w14:textId="77777777" w:rsidR="00256166" w:rsidRDefault="00256166" w:rsidP="00320F02">
      <w:pPr>
        <w:jc w:val="both"/>
      </w:pPr>
    </w:p>
    <w:p w14:paraId="0C054E95" w14:textId="77777777" w:rsidR="00336005" w:rsidRDefault="00336005">
      <w:pPr>
        <w:rPr>
          <w:lang w:val="en-GB"/>
        </w:rPr>
      </w:pPr>
    </w:p>
    <w:p w14:paraId="0ABD8B0E" w14:textId="46BEF90F" w:rsidR="00336005" w:rsidRDefault="00336005">
      <w:pPr>
        <w:rPr>
          <w:lang w:val="en-GB"/>
        </w:rPr>
      </w:pPr>
      <w:r w:rsidRPr="00336005">
        <w:rPr>
          <w:b/>
          <w:lang w:val="en-GB"/>
        </w:rPr>
        <w:lastRenderedPageBreak/>
        <w:t>Keywords:</w:t>
      </w:r>
      <w:r>
        <w:rPr>
          <w:b/>
          <w:lang w:val="en-GB"/>
        </w:rPr>
        <w:t xml:space="preserve"> </w:t>
      </w:r>
      <w:r w:rsidR="00256166">
        <w:rPr>
          <w:lang w:val="en-GB"/>
        </w:rPr>
        <w:t>Super-resolution</w:t>
      </w:r>
      <w:r>
        <w:rPr>
          <w:lang w:val="en-GB"/>
        </w:rPr>
        <w:t>,</w:t>
      </w:r>
      <w:r w:rsidR="00256166">
        <w:rPr>
          <w:lang w:val="en-GB"/>
        </w:rPr>
        <w:t xml:space="preserve"> GAN</w:t>
      </w:r>
      <w:r>
        <w:rPr>
          <w:lang w:val="en-GB"/>
        </w:rPr>
        <w:t xml:space="preserve">, </w:t>
      </w:r>
      <w:r w:rsidR="00256166">
        <w:rPr>
          <w:lang w:val="en-GB"/>
        </w:rPr>
        <w:t>deep-learning</w:t>
      </w:r>
      <w:r>
        <w:rPr>
          <w:lang w:val="en-GB"/>
        </w:rPr>
        <w:t>,</w:t>
      </w:r>
      <w:r w:rsidR="00256166">
        <w:rPr>
          <w:lang w:val="en-GB"/>
        </w:rPr>
        <w:t xml:space="preserve"> image processing, PNM, simulation</w:t>
      </w:r>
    </w:p>
    <w:p w14:paraId="608D6E54" w14:textId="77777777" w:rsidR="002C4440" w:rsidRDefault="002C4440" w:rsidP="002C4440">
      <w:r w:rsidRPr="00322C97">
        <w:rPr>
          <w:rFonts w:asciiTheme="minorHAnsi" w:hAnsiTheme="minorHAnsi" w:cstheme="minorHAnsi"/>
          <w:i/>
          <w:noProof/>
        </w:rPr>
        <w:drawing>
          <wp:anchor distT="0" distB="0" distL="114300" distR="114300" simplePos="0" relativeHeight="251659264" behindDoc="1" locked="0" layoutInCell="1" allowOverlap="1" wp14:anchorId="3B2C5909" wp14:editId="2F6075E7">
            <wp:simplePos x="0" y="0"/>
            <wp:positionH relativeFrom="column">
              <wp:posOffset>-528</wp:posOffset>
            </wp:positionH>
            <wp:positionV relativeFrom="paragraph">
              <wp:posOffset>594</wp:posOffset>
            </wp:positionV>
            <wp:extent cx="6057900" cy="3014980"/>
            <wp:effectExtent l="0" t="0" r="0" b="0"/>
            <wp:wrapTight wrapText="bothSides">
              <wp:wrapPolygon edited="0">
                <wp:start x="0" y="0"/>
                <wp:lineTo x="0" y="21427"/>
                <wp:lineTo x="21532" y="21427"/>
                <wp:lineTo x="21532" y="0"/>
                <wp:lineTo x="0" y="0"/>
              </wp:wrapPolygon>
            </wp:wrapTight>
            <wp:docPr id="1" name="Picture 1" descr="A picture containing text, blur&#10;&#10;Description automatically generated">
              <a:extLst xmlns:a="http://schemas.openxmlformats.org/drawingml/2006/main">
                <a:ext uri="{FF2B5EF4-FFF2-40B4-BE49-F238E27FC236}">
                  <a16:creationId xmlns:a16="http://schemas.microsoft.com/office/drawing/2014/main" id="{7044BE2B-E070-4EF5-8022-5DE3908A10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lur&#10;&#10;Description automatically generated">
                      <a:extLst>
                        <a:ext uri="{FF2B5EF4-FFF2-40B4-BE49-F238E27FC236}">
                          <a16:creationId xmlns:a16="http://schemas.microsoft.com/office/drawing/2014/main" id="{7044BE2B-E070-4EF5-8022-5DE3908A1035}"/>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057900" cy="3014980"/>
                    </a:xfrm>
                    <a:prstGeom prst="rect">
                      <a:avLst/>
                    </a:prstGeom>
                  </pic:spPr>
                </pic:pic>
              </a:graphicData>
            </a:graphic>
          </wp:anchor>
        </w:drawing>
      </w:r>
    </w:p>
    <w:p w14:paraId="2CCE76C4" w14:textId="6EC08E37" w:rsidR="002C4440" w:rsidRDefault="002C4440" w:rsidP="002C4440">
      <w:pPr>
        <w:keepNext/>
        <w:autoSpaceDE w:val="0"/>
        <w:autoSpaceDN w:val="0"/>
        <w:adjustRightInd w:val="0"/>
        <w:spacing w:line="240" w:lineRule="atLeast"/>
        <w:rPr>
          <w:rFonts w:asciiTheme="minorHAnsi" w:hAnsiTheme="minorHAnsi" w:cstheme="minorHAnsi"/>
          <w:i/>
        </w:rPr>
      </w:pPr>
      <w:r>
        <w:rPr>
          <w:rFonts w:asciiTheme="minorHAnsi" w:hAnsiTheme="minorHAnsi" w:cstheme="minorHAnsi"/>
          <w:i/>
        </w:rPr>
        <w:tab/>
      </w:r>
      <w:r>
        <w:rPr>
          <w:rFonts w:asciiTheme="minorHAnsi" w:hAnsiTheme="minorHAnsi" w:cstheme="minorHAnsi"/>
          <w:i/>
        </w:rPr>
        <w:tab/>
        <w:t xml:space="preserve">a- Low Resolution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t xml:space="preserve">b- Super Resolution </w:t>
      </w:r>
    </w:p>
    <w:p w14:paraId="07AF0669" w14:textId="77777777" w:rsidR="002C4440" w:rsidRPr="00322C97" w:rsidRDefault="002C4440" w:rsidP="002C4440">
      <w:pPr>
        <w:pStyle w:val="Caption"/>
      </w:pPr>
    </w:p>
    <w:p w14:paraId="6095AF60" w14:textId="77777777" w:rsidR="002C4440" w:rsidRDefault="002C4440" w:rsidP="002C4440">
      <w:pPr>
        <w:pStyle w:val="Caption"/>
      </w:pPr>
    </w:p>
    <w:p w14:paraId="419EC2E0" w14:textId="3DC20296" w:rsidR="002C4440" w:rsidRPr="00194537" w:rsidRDefault="002C4440" w:rsidP="000D1C54">
      <w:pPr>
        <w:pStyle w:val="Caption"/>
        <w:jc w:val="center"/>
        <w:rPr>
          <w:b w:val="0"/>
          <w:lang w:val="en-GB"/>
        </w:rPr>
      </w:pPr>
      <w:r w:rsidRPr="00322C97">
        <w:t xml:space="preserve">Figure </w:t>
      </w:r>
      <w:r w:rsidR="0099575F">
        <w:fldChar w:fldCharType="begin"/>
      </w:r>
      <w:r w:rsidR="0099575F">
        <w:instrText xml:space="preserve"> SEQ Figure \* ARABIC </w:instrText>
      </w:r>
      <w:r w:rsidR="0099575F">
        <w:fldChar w:fldCharType="separate"/>
      </w:r>
      <w:r w:rsidR="00755A06">
        <w:rPr>
          <w:noProof/>
        </w:rPr>
        <w:t>1</w:t>
      </w:r>
      <w:r w:rsidR="0099575F">
        <w:rPr>
          <w:noProof/>
        </w:rPr>
        <w:fldChar w:fldCharType="end"/>
      </w:r>
      <w:r w:rsidRPr="00322C97">
        <w:t>: comparison between low resolution and super resolution image</w:t>
      </w:r>
    </w:p>
    <w:sectPr w:rsidR="002C4440" w:rsidRPr="00194537" w:rsidSect="00FB49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47B3D" w14:textId="77777777" w:rsidR="00BC238C" w:rsidRDefault="00BC238C" w:rsidP="000E1BCB">
      <w:r>
        <w:separator/>
      </w:r>
    </w:p>
  </w:endnote>
  <w:endnote w:type="continuationSeparator" w:id="0">
    <w:p w14:paraId="76D6F25C" w14:textId="77777777" w:rsidR="00BC238C" w:rsidRDefault="00BC238C" w:rsidP="000E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81A63" w14:textId="77777777" w:rsidR="00E07387" w:rsidRDefault="00E07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D5CE3" w14:textId="552EDBCA" w:rsidR="00517F6C" w:rsidRDefault="00517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4021E" w14:textId="77777777" w:rsidR="00E07387" w:rsidRDefault="00E07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7B312" w14:textId="77777777" w:rsidR="00BC238C" w:rsidRDefault="00BC238C" w:rsidP="000E1BCB">
      <w:r>
        <w:separator/>
      </w:r>
    </w:p>
  </w:footnote>
  <w:footnote w:type="continuationSeparator" w:id="0">
    <w:p w14:paraId="2CC3DEFE" w14:textId="77777777" w:rsidR="00BC238C" w:rsidRDefault="00BC238C" w:rsidP="000E1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ACFBA" w14:textId="77777777" w:rsidR="00E07387" w:rsidRDefault="00E07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BFA0B" w14:textId="77777777" w:rsidR="00E07387" w:rsidRDefault="00E07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69089" w14:textId="77777777" w:rsidR="00E07387" w:rsidRDefault="00E073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CB"/>
    <w:rsid w:val="0002581B"/>
    <w:rsid w:val="0006098E"/>
    <w:rsid w:val="000658A2"/>
    <w:rsid w:val="000D1C54"/>
    <w:rsid w:val="000E1BCB"/>
    <w:rsid w:val="000F3ADF"/>
    <w:rsid w:val="000F5664"/>
    <w:rsid w:val="00116934"/>
    <w:rsid w:val="00151C1F"/>
    <w:rsid w:val="001631B2"/>
    <w:rsid w:val="00182205"/>
    <w:rsid w:val="00194537"/>
    <w:rsid w:val="001C1D00"/>
    <w:rsid w:val="001D3A39"/>
    <w:rsid w:val="001D3C8E"/>
    <w:rsid w:val="001E7969"/>
    <w:rsid w:val="001F0A5E"/>
    <w:rsid w:val="00211D8C"/>
    <w:rsid w:val="00227B5D"/>
    <w:rsid w:val="002465FC"/>
    <w:rsid w:val="00256166"/>
    <w:rsid w:val="0026578D"/>
    <w:rsid w:val="0028111A"/>
    <w:rsid w:val="00281DED"/>
    <w:rsid w:val="002B7446"/>
    <w:rsid w:val="002C319F"/>
    <w:rsid w:val="002C4440"/>
    <w:rsid w:val="002E0477"/>
    <w:rsid w:val="002E14C7"/>
    <w:rsid w:val="002F42F1"/>
    <w:rsid w:val="00314A0D"/>
    <w:rsid w:val="00320F02"/>
    <w:rsid w:val="00336005"/>
    <w:rsid w:val="0036566D"/>
    <w:rsid w:val="00372966"/>
    <w:rsid w:val="003B7E6E"/>
    <w:rsid w:val="003E50DD"/>
    <w:rsid w:val="004321A2"/>
    <w:rsid w:val="00452981"/>
    <w:rsid w:val="00466FBF"/>
    <w:rsid w:val="00485487"/>
    <w:rsid w:val="004B6E43"/>
    <w:rsid w:val="004C3F79"/>
    <w:rsid w:val="004F2E30"/>
    <w:rsid w:val="00502545"/>
    <w:rsid w:val="00517F6C"/>
    <w:rsid w:val="005508B3"/>
    <w:rsid w:val="005840DC"/>
    <w:rsid w:val="005A54D7"/>
    <w:rsid w:val="006178F7"/>
    <w:rsid w:val="00650798"/>
    <w:rsid w:val="006616EB"/>
    <w:rsid w:val="006A3EA3"/>
    <w:rsid w:val="006A4C75"/>
    <w:rsid w:val="006E54D6"/>
    <w:rsid w:val="006F3555"/>
    <w:rsid w:val="00746AF6"/>
    <w:rsid w:val="00755A06"/>
    <w:rsid w:val="00770F90"/>
    <w:rsid w:val="0077216D"/>
    <w:rsid w:val="00785B86"/>
    <w:rsid w:val="0082426A"/>
    <w:rsid w:val="0083460E"/>
    <w:rsid w:val="00840828"/>
    <w:rsid w:val="00860292"/>
    <w:rsid w:val="00892C87"/>
    <w:rsid w:val="00897F04"/>
    <w:rsid w:val="008C2D5C"/>
    <w:rsid w:val="00906B78"/>
    <w:rsid w:val="00913B22"/>
    <w:rsid w:val="0096729F"/>
    <w:rsid w:val="0099575F"/>
    <w:rsid w:val="00A31495"/>
    <w:rsid w:val="00A648CE"/>
    <w:rsid w:val="00AA31BC"/>
    <w:rsid w:val="00AA748A"/>
    <w:rsid w:val="00B146B6"/>
    <w:rsid w:val="00B24F6F"/>
    <w:rsid w:val="00B6561C"/>
    <w:rsid w:val="00B93693"/>
    <w:rsid w:val="00B96846"/>
    <w:rsid w:val="00BC238C"/>
    <w:rsid w:val="00BD4D1F"/>
    <w:rsid w:val="00BE504B"/>
    <w:rsid w:val="00BF0D84"/>
    <w:rsid w:val="00BF1EE3"/>
    <w:rsid w:val="00C049B6"/>
    <w:rsid w:val="00C46307"/>
    <w:rsid w:val="00C97AA1"/>
    <w:rsid w:val="00D103DF"/>
    <w:rsid w:val="00D2712E"/>
    <w:rsid w:val="00D6682F"/>
    <w:rsid w:val="00D716F2"/>
    <w:rsid w:val="00D8002C"/>
    <w:rsid w:val="00DE01A9"/>
    <w:rsid w:val="00E07387"/>
    <w:rsid w:val="00E17442"/>
    <w:rsid w:val="00F061CD"/>
    <w:rsid w:val="00F226F1"/>
    <w:rsid w:val="00F437D3"/>
    <w:rsid w:val="00F4777B"/>
    <w:rsid w:val="00F563B3"/>
    <w:rsid w:val="00F808FD"/>
    <w:rsid w:val="00F925F7"/>
    <w:rsid w:val="00FB4548"/>
    <w:rsid w:val="00FB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832E9"/>
  <w15:docId w15:val="{E0CB0833-5655-4880-8378-36AD4AC3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BC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1ptjustified">
    <w:name w:val="Normal 11pt justified"/>
    <w:basedOn w:val="Normal"/>
    <w:rsid w:val="000E1BCB"/>
    <w:pPr>
      <w:tabs>
        <w:tab w:val="left" w:pos="504"/>
      </w:tabs>
      <w:jc w:val="both"/>
    </w:pPr>
    <w:rPr>
      <w:sz w:val="22"/>
      <w:lang w:val="en-GB"/>
    </w:rPr>
  </w:style>
  <w:style w:type="paragraph" w:styleId="Header">
    <w:name w:val="header"/>
    <w:basedOn w:val="Normal"/>
    <w:link w:val="HeaderChar"/>
    <w:uiPriority w:val="99"/>
    <w:unhideWhenUsed/>
    <w:rsid w:val="000E1BCB"/>
    <w:pPr>
      <w:tabs>
        <w:tab w:val="center" w:pos="4680"/>
        <w:tab w:val="right" w:pos="9360"/>
      </w:tabs>
    </w:pPr>
  </w:style>
  <w:style w:type="character" w:customStyle="1" w:styleId="HeaderChar">
    <w:name w:val="Header Char"/>
    <w:basedOn w:val="DefaultParagraphFont"/>
    <w:link w:val="Header"/>
    <w:uiPriority w:val="99"/>
    <w:rsid w:val="000E1BC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E1BCB"/>
    <w:pPr>
      <w:tabs>
        <w:tab w:val="center" w:pos="4680"/>
        <w:tab w:val="right" w:pos="9360"/>
      </w:tabs>
    </w:pPr>
  </w:style>
  <w:style w:type="character" w:customStyle="1" w:styleId="FooterChar">
    <w:name w:val="Footer Char"/>
    <w:basedOn w:val="DefaultParagraphFont"/>
    <w:link w:val="Footer"/>
    <w:uiPriority w:val="99"/>
    <w:rsid w:val="000E1BC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36005"/>
    <w:rPr>
      <w:rFonts w:ascii="Tahoma" w:hAnsi="Tahoma" w:cs="Tahoma"/>
      <w:sz w:val="16"/>
      <w:szCs w:val="16"/>
    </w:rPr>
  </w:style>
  <w:style w:type="character" w:customStyle="1" w:styleId="BalloonTextChar">
    <w:name w:val="Balloon Text Char"/>
    <w:basedOn w:val="DefaultParagraphFont"/>
    <w:link w:val="BalloonText"/>
    <w:uiPriority w:val="99"/>
    <w:semiHidden/>
    <w:rsid w:val="00336005"/>
    <w:rPr>
      <w:rFonts w:ascii="Tahoma" w:eastAsia="Times New Roman" w:hAnsi="Tahoma" w:cs="Tahoma"/>
      <w:sz w:val="16"/>
      <w:szCs w:val="16"/>
    </w:rPr>
  </w:style>
  <w:style w:type="paragraph" w:styleId="Subtitle">
    <w:name w:val="Subtitle"/>
    <w:basedOn w:val="Normal"/>
    <w:link w:val="SubtitleChar"/>
    <w:uiPriority w:val="11"/>
    <w:qFormat/>
    <w:rsid w:val="00194537"/>
    <w:pPr>
      <w:spacing w:after="60"/>
      <w:jc w:val="center"/>
      <w:outlineLvl w:val="1"/>
    </w:pPr>
    <w:rPr>
      <w:rFonts w:ascii="Arial" w:hAnsi="Arial"/>
    </w:rPr>
  </w:style>
  <w:style w:type="character" w:customStyle="1" w:styleId="SubtitleChar">
    <w:name w:val="Subtitle Char"/>
    <w:basedOn w:val="DefaultParagraphFont"/>
    <w:link w:val="Subtitle"/>
    <w:uiPriority w:val="11"/>
    <w:rsid w:val="00194537"/>
    <w:rPr>
      <w:rFonts w:ascii="Arial" w:eastAsia="Times New Roman" w:hAnsi="Arial" w:cs="Times New Roman"/>
      <w:sz w:val="24"/>
      <w:szCs w:val="20"/>
    </w:rPr>
  </w:style>
  <w:style w:type="paragraph" w:customStyle="1" w:styleId="SectionHeading">
    <w:name w:val="Section Heading"/>
    <w:basedOn w:val="Normal"/>
    <w:rsid w:val="00194537"/>
    <w:pPr>
      <w:tabs>
        <w:tab w:val="left" w:pos="504"/>
      </w:tabs>
      <w:spacing w:before="240" w:after="240"/>
    </w:pPr>
    <w:rPr>
      <w:b/>
      <w:sz w:val="22"/>
      <w:lang w:val="en-GB"/>
    </w:rPr>
  </w:style>
  <w:style w:type="paragraph" w:styleId="Caption">
    <w:name w:val="caption"/>
    <w:basedOn w:val="Normal"/>
    <w:next w:val="Normal"/>
    <w:uiPriority w:val="35"/>
    <w:unhideWhenUsed/>
    <w:qFormat/>
    <w:rsid w:val="00194537"/>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83460E"/>
    <w:rPr>
      <w:sz w:val="16"/>
      <w:szCs w:val="16"/>
    </w:rPr>
  </w:style>
  <w:style w:type="paragraph" w:styleId="CommentText">
    <w:name w:val="annotation text"/>
    <w:basedOn w:val="Normal"/>
    <w:link w:val="CommentTextChar"/>
    <w:uiPriority w:val="99"/>
    <w:semiHidden/>
    <w:unhideWhenUsed/>
    <w:rsid w:val="0083460E"/>
    <w:rPr>
      <w:sz w:val="20"/>
    </w:rPr>
  </w:style>
  <w:style w:type="character" w:customStyle="1" w:styleId="CommentTextChar">
    <w:name w:val="Comment Text Char"/>
    <w:basedOn w:val="DefaultParagraphFont"/>
    <w:link w:val="CommentText"/>
    <w:uiPriority w:val="99"/>
    <w:semiHidden/>
    <w:rsid w:val="008346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460E"/>
    <w:rPr>
      <w:b/>
      <w:bCs/>
    </w:rPr>
  </w:style>
  <w:style w:type="character" w:customStyle="1" w:styleId="CommentSubjectChar">
    <w:name w:val="Comment Subject Char"/>
    <w:basedOn w:val="CommentTextChar"/>
    <w:link w:val="CommentSubject"/>
    <w:uiPriority w:val="99"/>
    <w:semiHidden/>
    <w:rsid w:val="0083460E"/>
    <w:rPr>
      <w:rFonts w:ascii="Times New Roman" w:eastAsia="Times New Roman" w:hAnsi="Times New Roman" w:cs="Times New Roman"/>
      <w:b/>
      <w:bCs/>
      <w:sz w:val="20"/>
      <w:szCs w:val="20"/>
    </w:rPr>
  </w:style>
  <w:style w:type="paragraph" w:styleId="Revision">
    <w:name w:val="Revision"/>
    <w:hidden/>
    <w:uiPriority w:val="99"/>
    <w:semiHidden/>
    <w:rsid w:val="0083460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925473">
      <w:bodyDiv w:val="1"/>
      <w:marLeft w:val="0"/>
      <w:marRight w:val="0"/>
      <w:marTop w:val="0"/>
      <w:marBottom w:val="0"/>
      <w:divBdr>
        <w:top w:val="none" w:sz="0" w:space="0" w:color="auto"/>
        <w:left w:val="none" w:sz="0" w:space="0" w:color="auto"/>
        <w:bottom w:val="none" w:sz="0" w:space="0" w:color="auto"/>
        <w:right w:val="none" w:sz="0" w:space="0" w:color="auto"/>
      </w:divBdr>
    </w:div>
    <w:div w:id="194348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411</Words>
  <Characters>2262</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TOTAL</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j0356389</dc:creator>
  <cp:keywords/>
  <dc:description/>
  <cp:lastModifiedBy>Mohamed REGAIEG</cp:lastModifiedBy>
  <cp:revision>7</cp:revision>
  <cp:lastPrinted>2021-12-28T10:28:00Z</cp:lastPrinted>
  <dcterms:created xsi:type="dcterms:W3CDTF">2021-12-28T09:51:00Z</dcterms:created>
  <dcterms:modified xsi:type="dcterms:W3CDTF">2021-12-28T12:56:00Z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0ed1b-e95f-40b5-af89-828263f287a7_Enabled">
    <vt:lpwstr>true</vt:lpwstr>
  </property>
  <property fmtid="{D5CDD505-2E9C-101B-9397-08002B2CF9AE}" pid="3" name="MSIP_Label_2b30ed1b-e95f-40b5-af89-828263f287a7_SetDate">
    <vt:lpwstr>2021-12-15T10:05:11Z</vt:lpwstr>
  </property>
  <property fmtid="{D5CDD505-2E9C-101B-9397-08002B2CF9AE}" pid="4" name="MSIP_Label_2b30ed1b-e95f-40b5-af89-828263f287a7_Method">
    <vt:lpwstr>Standard</vt:lpwstr>
  </property>
  <property fmtid="{D5CDD505-2E9C-101B-9397-08002B2CF9AE}" pid="5" name="MSIP_Label_2b30ed1b-e95f-40b5-af89-828263f287a7_Name">
    <vt:lpwstr>2b30ed1b-e95f-40b5-af89-828263f287a7</vt:lpwstr>
  </property>
  <property fmtid="{D5CDD505-2E9C-101B-9397-08002B2CF9AE}" pid="6" name="MSIP_Label_2b30ed1b-e95f-40b5-af89-828263f287a7_SiteId">
    <vt:lpwstr>329e91b0-e21f-48fb-a071-456717ecc28e</vt:lpwstr>
  </property>
  <property fmtid="{D5CDD505-2E9C-101B-9397-08002B2CF9AE}" pid="7" name="MSIP_Label_2b30ed1b-e95f-40b5-af89-828263f287a7_ActionId">
    <vt:lpwstr>5e9e622f-b7c1-44fd-ad12-c73dc7c6cc27</vt:lpwstr>
  </property>
  <property fmtid="{D5CDD505-2E9C-101B-9397-08002B2CF9AE}" pid="8" name="MSIP_Label_2b30ed1b-e95f-40b5-af89-828263f287a7_ContentBits">
    <vt:lpwstr>0</vt:lpwstr>
  </property>
</Properties>
</file>