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0910" w14:textId="77777777" w:rsidR="003A5A4D" w:rsidRDefault="00956347">
      <w:pPr>
        <w:pStyle w:val="Corps"/>
        <w:widowControl w:val="0"/>
        <w:tabs>
          <w:tab w:val="left" w:pos="5040"/>
          <w:tab w:val="left" w:pos="7200"/>
        </w:tabs>
        <w:rPr>
          <w:rStyle w:val="Aucun"/>
          <w:color w:val="231F20"/>
          <w:sz w:val="18"/>
          <w:szCs w:val="18"/>
          <w:u w:color="231F20"/>
        </w:rPr>
      </w:pPr>
      <w:r>
        <w:rPr>
          <w:rStyle w:val="Aucun"/>
          <w:color w:val="231F20"/>
          <w:sz w:val="18"/>
          <w:szCs w:val="18"/>
          <w:u w:color="231F20"/>
          <w:lang w:val="en-US"/>
        </w:rPr>
        <w:tab/>
      </w:r>
      <w:r>
        <w:rPr>
          <w:rStyle w:val="Aucun"/>
          <w:color w:val="231F20"/>
          <w:sz w:val="18"/>
          <w:szCs w:val="18"/>
          <w:u w:color="231F20"/>
          <w:lang w:val="en-US"/>
        </w:rPr>
        <w:tab/>
      </w:r>
      <w:r>
        <w:rPr>
          <w:rStyle w:val="Aucun"/>
          <w:color w:val="231F20"/>
          <w:sz w:val="18"/>
          <w:szCs w:val="18"/>
          <w:u w:color="231F20"/>
          <w:lang w:val="en-US"/>
        </w:rPr>
        <w:tab/>
      </w:r>
    </w:p>
    <w:p w14:paraId="30996E79" w14:textId="77777777" w:rsidR="003A5A4D" w:rsidRDefault="003A5A4D">
      <w:pPr>
        <w:pStyle w:val="Corps"/>
        <w:widowControl w:val="0"/>
        <w:jc w:val="center"/>
        <w:rPr>
          <w:b/>
          <w:bCs/>
          <w:caps/>
          <w:color w:val="231F20"/>
          <w:sz w:val="28"/>
          <w:szCs w:val="28"/>
          <w:u w:color="231F20"/>
        </w:rPr>
      </w:pPr>
    </w:p>
    <w:p w14:paraId="092FF2A0" w14:textId="77777777" w:rsidR="003A5A4D" w:rsidRDefault="003A5A4D">
      <w:pPr>
        <w:pStyle w:val="Corps"/>
        <w:widowControl w:val="0"/>
        <w:jc w:val="center"/>
        <w:rPr>
          <w:b/>
          <w:bCs/>
          <w:color w:val="231F20"/>
          <w:sz w:val="28"/>
          <w:szCs w:val="28"/>
          <w:u w:color="231F20"/>
        </w:rPr>
      </w:pPr>
    </w:p>
    <w:p w14:paraId="0F7B8F5D" w14:textId="77777777" w:rsidR="003A5A4D" w:rsidRDefault="00956347">
      <w:pPr>
        <w:pStyle w:val="Corps"/>
        <w:widowControl w:val="0"/>
        <w:jc w:val="center"/>
        <w:rPr>
          <w:lang w:val="en-US"/>
        </w:rPr>
      </w:pPr>
      <w:r>
        <w:rPr>
          <w:b/>
          <w:bCs/>
          <w:color w:val="231F20"/>
          <w:sz w:val="28"/>
          <w:szCs w:val="28"/>
          <w:u w:color="231F20"/>
          <w:lang w:val="en-US"/>
        </w:rPr>
        <w:t>Diffusion of methane and carbon dioxide within flexible kerogen from molecular dynamics simulations</w:t>
      </w:r>
    </w:p>
    <w:p w14:paraId="12378ED9" w14:textId="77777777" w:rsidR="003A5A4D" w:rsidRDefault="003A5A4D">
      <w:pPr>
        <w:pStyle w:val="Corps"/>
        <w:widowControl w:val="0"/>
        <w:jc w:val="center"/>
        <w:rPr>
          <w:b/>
          <w:bCs/>
          <w:color w:val="231F20"/>
          <w:sz w:val="20"/>
          <w:szCs w:val="20"/>
          <w:u w:color="231F20"/>
          <w:lang w:val="en-US"/>
        </w:rPr>
      </w:pPr>
    </w:p>
    <w:p w14:paraId="786FC6D0" w14:textId="77777777" w:rsidR="003A5A4D" w:rsidRDefault="00956347">
      <w:pPr>
        <w:pStyle w:val="Corps"/>
        <w:widowControl w:val="0"/>
        <w:jc w:val="center"/>
        <w:rPr>
          <w:vertAlign w:val="superscript"/>
        </w:rPr>
      </w:pPr>
      <w:r>
        <w:rPr>
          <w:rStyle w:val="Aucun"/>
          <w:color w:val="231F20"/>
          <w:sz w:val="20"/>
          <w:szCs w:val="20"/>
          <w:u w:val="single" w:color="231F20"/>
          <w:lang w:val="da-DK"/>
        </w:rPr>
        <w:t>Kristina Ariskina</w:t>
      </w:r>
      <w:r>
        <w:rPr>
          <w:rStyle w:val="Aucun"/>
          <w:color w:val="231F20"/>
          <w:sz w:val="20"/>
          <w:szCs w:val="20"/>
          <w:vertAlign w:val="superscript"/>
          <w:lang w:val="da-DK"/>
        </w:rPr>
        <w:t>1</w:t>
      </w:r>
      <w:r>
        <w:rPr>
          <w:rStyle w:val="Aucun"/>
          <w:color w:val="231F20"/>
          <w:sz w:val="20"/>
          <w:szCs w:val="20"/>
          <w:u w:color="231F20"/>
          <w:lang w:val="da-DK"/>
        </w:rPr>
        <w:t>, Guillaume Galliero</w:t>
      </w:r>
      <w:r>
        <w:rPr>
          <w:rStyle w:val="Aucun"/>
          <w:color w:val="231F20"/>
          <w:sz w:val="20"/>
          <w:szCs w:val="20"/>
          <w:u w:color="231F20"/>
          <w:vertAlign w:val="superscript"/>
          <w:lang w:val="da-DK"/>
        </w:rPr>
        <w:t>1</w:t>
      </w:r>
      <w:r>
        <w:rPr>
          <w:rStyle w:val="Aucun"/>
          <w:color w:val="231F20"/>
          <w:sz w:val="20"/>
          <w:szCs w:val="20"/>
          <w:u w:color="231F20"/>
          <w:lang w:val="da-DK"/>
        </w:rPr>
        <w:t>, A</w:t>
      </w:r>
      <w:proofErr w:type="spellStart"/>
      <w:r>
        <w:rPr>
          <w:rStyle w:val="Aucun"/>
          <w:color w:val="231F20"/>
          <w:sz w:val="20"/>
          <w:szCs w:val="20"/>
          <w:u w:color="231F20"/>
        </w:rPr>
        <w:t>maël</w:t>
      </w:r>
      <w:proofErr w:type="spellEnd"/>
      <w:r>
        <w:rPr>
          <w:rStyle w:val="Aucun"/>
          <w:color w:val="231F20"/>
          <w:sz w:val="20"/>
          <w:szCs w:val="20"/>
          <w:u w:color="231F20"/>
          <w:lang w:val="da-DK"/>
        </w:rPr>
        <w:t xml:space="preserve"> Obliger</w:t>
      </w:r>
      <w:r>
        <w:rPr>
          <w:rStyle w:val="Aucun"/>
          <w:color w:val="231F20"/>
          <w:sz w:val="20"/>
          <w:szCs w:val="20"/>
          <w:u w:color="231F20"/>
          <w:vertAlign w:val="superscript"/>
          <w:lang w:val="da-DK"/>
        </w:rPr>
        <w:t>1,2</w:t>
      </w:r>
    </w:p>
    <w:p w14:paraId="732B0B4D" w14:textId="77777777" w:rsidR="003A5A4D" w:rsidRDefault="00956347">
      <w:pPr>
        <w:pStyle w:val="NormalWeb"/>
        <w:spacing w:after="0" w:line="144" w:lineRule="auto"/>
        <w:jc w:val="center"/>
      </w:pPr>
      <w:r>
        <w:rPr>
          <w:rStyle w:val="Aucun"/>
          <w:color w:val="231F20"/>
          <w:sz w:val="20"/>
          <w:szCs w:val="20"/>
          <w:u w:color="231F20"/>
          <w:vertAlign w:val="superscript"/>
        </w:rPr>
        <w:t xml:space="preserve">1 </w:t>
      </w:r>
      <w:r>
        <w:rPr>
          <w:rStyle w:val="Aucun"/>
          <w:color w:val="231F20"/>
          <w:sz w:val="20"/>
          <w:szCs w:val="20"/>
          <w:u w:color="231F20"/>
        </w:rPr>
        <w:t xml:space="preserve">Laboratoire des Fluides Complexes et leurs Réservoirs, UMR 5150, </w:t>
      </w:r>
    </w:p>
    <w:p w14:paraId="555D7EFC" w14:textId="77777777" w:rsidR="003A5A4D" w:rsidRDefault="00956347">
      <w:pPr>
        <w:pStyle w:val="NormalWeb"/>
        <w:spacing w:after="0" w:line="144" w:lineRule="auto"/>
        <w:jc w:val="center"/>
      </w:pPr>
      <w:r>
        <w:rPr>
          <w:rStyle w:val="Aucun"/>
          <w:color w:val="231F20"/>
          <w:sz w:val="20"/>
          <w:szCs w:val="20"/>
          <w:u w:color="231F20"/>
        </w:rPr>
        <w:t>E2S UPPA, Université de Pau et des Pays de l'Adour/</w:t>
      </w:r>
      <w:proofErr w:type="spellStart"/>
      <w:r>
        <w:rPr>
          <w:rStyle w:val="Aucun"/>
          <w:color w:val="231F20"/>
          <w:sz w:val="20"/>
          <w:szCs w:val="20"/>
          <w:u w:color="231F20"/>
        </w:rPr>
        <w:t>TotalEnergies</w:t>
      </w:r>
      <w:proofErr w:type="spellEnd"/>
      <w:r>
        <w:rPr>
          <w:rStyle w:val="Aucun"/>
          <w:color w:val="231F20"/>
          <w:sz w:val="20"/>
          <w:szCs w:val="20"/>
          <w:u w:color="231F20"/>
        </w:rPr>
        <w:t>/CNRS, Pau, France.</w:t>
      </w:r>
    </w:p>
    <w:p w14:paraId="7EDD66AE" w14:textId="77777777" w:rsidR="003A5A4D" w:rsidRDefault="00956347">
      <w:pPr>
        <w:pStyle w:val="NormalWeb"/>
        <w:spacing w:after="0" w:line="144" w:lineRule="auto"/>
        <w:jc w:val="center"/>
        <w:rPr>
          <w:rStyle w:val="Aucun"/>
          <w:color w:val="231F20"/>
          <w:sz w:val="20"/>
          <w:szCs w:val="20"/>
          <w:u w:color="231F20"/>
        </w:rPr>
      </w:pPr>
      <w:r>
        <w:rPr>
          <w:rStyle w:val="Aucun"/>
          <w:color w:val="231F20"/>
          <w:sz w:val="20"/>
          <w:szCs w:val="20"/>
          <w:u w:color="231F20"/>
          <w:vertAlign w:val="superscript"/>
        </w:rPr>
        <w:t xml:space="preserve">2 </w:t>
      </w:r>
      <w:r>
        <w:rPr>
          <w:rStyle w:val="Aucun"/>
          <w:color w:val="231F20"/>
          <w:sz w:val="20"/>
          <w:szCs w:val="20"/>
          <w:u w:color="231F20"/>
        </w:rPr>
        <w:t xml:space="preserve">Institut des Sciences Moléculaires, UMR 5255, </w:t>
      </w:r>
    </w:p>
    <w:p w14:paraId="0EB918F3" w14:textId="77777777" w:rsidR="003A5A4D" w:rsidRDefault="00956347">
      <w:pPr>
        <w:pStyle w:val="NormalWeb"/>
        <w:spacing w:after="0" w:line="144" w:lineRule="auto"/>
        <w:jc w:val="center"/>
        <w:rPr>
          <w:rStyle w:val="Aucun"/>
        </w:rPr>
      </w:pPr>
      <w:r>
        <w:rPr>
          <w:rStyle w:val="Aucun"/>
          <w:color w:val="231F20"/>
          <w:sz w:val="20"/>
          <w:szCs w:val="20"/>
          <w:u w:color="231F20"/>
        </w:rPr>
        <w:t>Université de Bordeaux/CNRS, Talence, France.</w:t>
      </w:r>
    </w:p>
    <w:p w14:paraId="6DFEDFF1" w14:textId="77777777" w:rsidR="003A5A4D" w:rsidRDefault="003A5A4D">
      <w:pPr>
        <w:pStyle w:val="Corps"/>
        <w:widowControl w:val="0"/>
        <w:jc w:val="center"/>
        <w:rPr>
          <w:rStyle w:val="Aucun"/>
          <w:color w:val="231F20"/>
          <w:sz w:val="20"/>
          <w:szCs w:val="20"/>
          <w:u w:color="231F20"/>
        </w:rPr>
      </w:pPr>
    </w:p>
    <w:p w14:paraId="65E20D32" w14:textId="62F9C363" w:rsidR="003A5A4D" w:rsidRDefault="00956347">
      <w:pPr>
        <w:pStyle w:val="NormalWeb"/>
        <w:spacing w:after="115" w:line="240" w:lineRule="atLeast"/>
        <w:rPr>
          <w:rStyle w:val="Aucun"/>
          <w:sz w:val="20"/>
          <w:szCs w:val="20"/>
          <w:lang w:val="en-US"/>
        </w:rPr>
      </w:pPr>
      <w:r>
        <w:rPr>
          <w:rStyle w:val="Aucun"/>
          <w:sz w:val="20"/>
          <w:szCs w:val="20"/>
        </w:rPr>
        <w:t xml:space="preserve">    </w:t>
      </w:r>
      <w:r>
        <w:rPr>
          <w:rStyle w:val="Aucun"/>
          <w:sz w:val="20"/>
          <w:szCs w:val="20"/>
          <w:lang w:val="en-US"/>
        </w:rPr>
        <w:t>The gr</w:t>
      </w:r>
      <w:r>
        <w:rPr>
          <w:rStyle w:val="Aucun"/>
          <w:sz w:val="20"/>
          <w:szCs w:val="20"/>
          <w:lang w:val="en-US"/>
        </w:rPr>
        <w:t xml:space="preserve">owing interest in shales stems from the presence of significant hydrocarbon reserves and the possibility of storing carbon dioxide in source rock’s organic matter (kerogen). However, </w:t>
      </w:r>
      <w:r>
        <w:rPr>
          <w:rStyle w:val="Aucun"/>
          <w:sz w:val="20"/>
          <w:szCs w:val="20"/>
          <w:lang w:val="en-US"/>
        </w:rPr>
        <w:t>the</w:t>
      </w:r>
      <w:r>
        <w:rPr>
          <w:rStyle w:val="Aucun"/>
          <w:sz w:val="20"/>
          <w:szCs w:val="20"/>
          <w:lang w:val="en-US"/>
        </w:rPr>
        <w:t xml:space="preserve"> impact of kerogen’s microporosity on fluid dynamics is not fully unde</w:t>
      </w:r>
      <w:r>
        <w:rPr>
          <w:rStyle w:val="Aucun"/>
          <w:sz w:val="20"/>
          <w:szCs w:val="20"/>
          <w:lang w:val="en-US"/>
        </w:rPr>
        <w:t xml:space="preserve">rstood yet. Phenomena such as strong adsorption effects have to be taken into account </w:t>
      </w:r>
      <w:r>
        <w:rPr>
          <w:rStyle w:val="Aucun"/>
          <w:sz w:val="20"/>
          <w:szCs w:val="20"/>
          <w:lang w:val="en-US"/>
        </w:rPr>
        <w:t>on</w:t>
      </w:r>
      <w:r>
        <w:rPr>
          <w:rStyle w:val="Aucun"/>
          <w:sz w:val="20"/>
          <w:szCs w:val="20"/>
          <w:lang w:val="en-US"/>
        </w:rPr>
        <w:t xml:space="preserve"> fluid transport investigations due to the high surface to volume ratio in kerogen. Most of the previous molecular scale studies on </w:t>
      </w:r>
      <w:r>
        <w:rPr>
          <w:rStyle w:val="Aucun"/>
          <w:sz w:val="20"/>
          <w:szCs w:val="20"/>
          <w:lang w:val="en-US"/>
        </w:rPr>
        <w:t>the</w:t>
      </w:r>
      <w:r>
        <w:rPr>
          <w:rStyle w:val="Aucun"/>
          <w:sz w:val="20"/>
          <w:szCs w:val="20"/>
          <w:lang w:val="en-US"/>
        </w:rPr>
        <w:t xml:space="preserve"> fluid dynamics in kerogen have b</w:t>
      </w:r>
      <w:r>
        <w:rPr>
          <w:rStyle w:val="Aucun"/>
          <w:sz w:val="20"/>
          <w:szCs w:val="20"/>
          <w:lang w:val="en-US"/>
        </w:rPr>
        <w:t xml:space="preserve">een performed in the rigid solid approximation [1,2], which is a rather crude assumption in most cases. Thus, in this </w:t>
      </w:r>
      <w:r>
        <w:rPr>
          <w:rStyle w:val="Aucun"/>
          <w:sz w:val="20"/>
          <w:szCs w:val="20"/>
          <w:lang w:val="en-US"/>
        </w:rPr>
        <w:t>study</w:t>
      </w:r>
      <w:r>
        <w:rPr>
          <w:rStyle w:val="Aucun"/>
          <w:sz w:val="20"/>
          <w:szCs w:val="20"/>
          <w:lang w:val="en-US"/>
        </w:rPr>
        <w:t xml:space="preserve">, molecular dynamics and free volume theory have been </w:t>
      </w:r>
      <w:r>
        <w:rPr>
          <w:rStyle w:val="Aucun"/>
          <w:sz w:val="20"/>
          <w:szCs w:val="20"/>
          <w:lang w:val="en-US"/>
        </w:rPr>
        <w:t>applied to</w:t>
      </w:r>
      <w:r>
        <w:rPr>
          <w:rStyle w:val="Aucun"/>
          <w:sz w:val="20"/>
          <w:szCs w:val="20"/>
          <w:lang w:val="en-US"/>
        </w:rPr>
        <w:t xml:space="preserve"> shed light on diffusion of methane (CH</w:t>
      </w:r>
      <w:r>
        <w:rPr>
          <w:rStyle w:val="Aucun"/>
          <w:sz w:val="20"/>
          <w:szCs w:val="20"/>
          <w:vertAlign w:val="subscript"/>
          <w:lang w:val="en-US"/>
        </w:rPr>
        <w:t>4</w:t>
      </w:r>
      <w:r>
        <w:rPr>
          <w:rStyle w:val="Aucun"/>
          <w:sz w:val="20"/>
          <w:szCs w:val="20"/>
          <w:lang w:val="en-US"/>
        </w:rPr>
        <w:t>) and carbon dioxide (CO</w:t>
      </w:r>
      <w:r>
        <w:rPr>
          <w:rStyle w:val="Aucun"/>
          <w:sz w:val="20"/>
          <w:szCs w:val="20"/>
          <w:vertAlign w:val="subscript"/>
          <w:lang w:val="en-US"/>
        </w:rPr>
        <w:t>2</w:t>
      </w:r>
      <w:r>
        <w:rPr>
          <w:rStyle w:val="Aucun"/>
          <w:sz w:val="20"/>
          <w:szCs w:val="20"/>
          <w:lang w:val="en-US"/>
        </w:rPr>
        <w:t xml:space="preserve">) </w:t>
      </w:r>
      <w:r>
        <w:rPr>
          <w:rStyle w:val="Aucun"/>
          <w:sz w:val="20"/>
          <w:szCs w:val="20"/>
          <w:lang w:val="en-US"/>
        </w:rPr>
        <w:t>in</w:t>
      </w:r>
      <w:r>
        <w:rPr>
          <w:rStyle w:val="Aucun"/>
          <w:sz w:val="20"/>
          <w:szCs w:val="20"/>
          <w:lang w:val="en-US"/>
        </w:rPr>
        <w:t xml:space="preserve"> a flexible kerogen microporous structure. </w:t>
      </w:r>
      <w:r>
        <w:rPr>
          <w:rStyle w:val="Aucun"/>
          <w:sz w:val="20"/>
          <w:szCs w:val="20"/>
          <w:lang w:val="en-US"/>
        </w:rPr>
        <w:t xml:space="preserve">The </w:t>
      </w:r>
      <w:r>
        <w:rPr>
          <w:rStyle w:val="Aucun"/>
          <w:sz w:val="20"/>
          <w:szCs w:val="20"/>
          <w:lang w:val="en-US"/>
        </w:rPr>
        <w:t>molecular kerogen model described in the paper [3] has been reused to extend the methane diffusion study to the carbon dioxide transport properties and collective effects in fluid diffusion. Despite an anisotr</w:t>
      </w:r>
      <w:r>
        <w:rPr>
          <w:rStyle w:val="Aucun"/>
          <w:sz w:val="20"/>
          <w:szCs w:val="20"/>
          <w:lang w:val="en-US"/>
        </w:rPr>
        <w:t>opy of the transport properties induced by the size of our immature kerogen model (~6×6×6 nm</w:t>
      </w:r>
      <w:r>
        <w:rPr>
          <w:rStyle w:val="Aucun"/>
          <w:sz w:val="20"/>
          <w:szCs w:val="20"/>
          <w:vertAlign w:val="superscript"/>
          <w:lang w:val="en-US"/>
        </w:rPr>
        <w:t>3</w:t>
      </w:r>
      <w:r>
        <w:rPr>
          <w:rStyle w:val="Aucun"/>
          <w:sz w:val="20"/>
          <w:szCs w:val="20"/>
          <w:lang w:val="en-US"/>
        </w:rPr>
        <w:t>), analysis of the diffusivity trends has shown that the anisotropic factor is approximately constant and remains small. This</w:t>
      </w:r>
      <w:r>
        <w:rPr>
          <w:rStyle w:val="Aucun"/>
          <w:sz w:val="20"/>
          <w:szCs w:val="20"/>
          <w:lang w:val="en-US"/>
        </w:rPr>
        <w:t xml:space="preserve"> allows us to average over the three directions to obtain effective transport properties. In addition, we prove that fluid (CH</w:t>
      </w:r>
      <w:r>
        <w:rPr>
          <w:rStyle w:val="Aucun"/>
          <w:sz w:val="20"/>
          <w:szCs w:val="20"/>
          <w:vertAlign w:val="subscript"/>
          <w:lang w:val="en-US"/>
        </w:rPr>
        <w:t>4</w:t>
      </w:r>
      <w:r>
        <w:rPr>
          <w:rStyle w:val="Aucun"/>
          <w:sz w:val="20"/>
          <w:szCs w:val="20"/>
          <w:lang w:val="en-US"/>
        </w:rPr>
        <w:t>/CO</w:t>
      </w:r>
      <w:r>
        <w:rPr>
          <w:rStyle w:val="Aucun"/>
          <w:sz w:val="20"/>
          <w:szCs w:val="20"/>
          <w:vertAlign w:val="subscript"/>
          <w:lang w:val="en-US"/>
        </w:rPr>
        <w:t>2</w:t>
      </w:r>
      <w:r>
        <w:rPr>
          <w:rStyle w:val="Aucun"/>
          <w:sz w:val="20"/>
          <w:szCs w:val="20"/>
          <w:lang w:val="en-US"/>
        </w:rPr>
        <w:t>) transport in flexible kerogen microstructures is purely diffusive, as the dynamics of the host matrix does not promote coll</w:t>
      </w:r>
      <w:r>
        <w:rPr>
          <w:rStyle w:val="Aucun"/>
          <w:sz w:val="20"/>
          <w:szCs w:val="20"/>
          <w:lang w:val="en-US"/>
        </w:rPr>
        <w:t>ective effects through solid-fluid couplings. Thus, the self-diffusion coefficient is a sufficient measure of the transport properties of fluids confined in both rigid and flexible kerogen microporosity. Moreover, the diffusivity of a fluid in deformable k</w:t>
      </w:r>
      <w:r>
        <w:rPr>
          <w:rStyle w:val="Aucun"/>
          <w:sz w:val="20"/>
          <w:szCs w:val="20"/>
          <w:lang w:val="en-US"/>
        </w:rPr>
        <w:t>erogen increases with fluid loading due to adsorption-induced swelling, as opposed to the rigid solid case. Interestingly, this increasing trend is well captured by the Fujita-</w:t>
      </w:r>
      <w:proofErr w:type="spellStart"/>
      <w:r>
        <w:rPr>
          <w:rStyle w:val="Aucun"/>
          <w:sz w:val="20"/>
          <w:szCs w:val="20"/>
          <w:lang w:val="en-US"/>
        </w:rPr>
        <w:t>Kishimoto</w:t>
      </w:r>
      <w:proofErr w:type="spellEnd"/>
      <w:r>
        <w:rPr>
          <w:rStyle w:val="Aucun"/>
          <w:sz w:val="20"/>
          <w:szCs w:val="20"/>
          <w:lang w:val="en-US"/>
        </w:rPr>
        <w:t xml:space="preserve"> free volume model. In contrast to fluid adsorption, the replacement of</w:t>
      </w:r>
      <w:r>
        <w:rPr>
          <w:rStyle w:val="Aucun"/>
          <w:sz w:val="20"/>
          <w:szCs w:val="20"/>
          <w:lang w:val="en-US"/>
        </w:rPr>
        <w:t xml:space="preserve"> CH</w:t>
      </w:r>
      <w:r>
        <w:rPr>
          <w:rStyle w:val="Aucun"/>
          <w:sz w:val="20"/>
          <w:szCs w:val="20"/>
          <w:vertAlign w:val="subscript"/>
          <w:lang w:val="en-US"/>
        </w:rPr>
        <w:t xml:space="preserve">4 </w:t>
      </w:r>
      <w:r>
        <w:rPr>
          <w:rStyle w:val="Aucun"/>
          <w:sz w:val="20"/>
          <w:szCs w:val="20"/>
          <w:lang w:val="en-US"/>
        </w:rPr>
        <w:t>with CO</w:t>
      </w:r>
      <w:r>
        <w:rPr>
          <w:rStyle w:val="Aucun"/>
          <w:sz w:val="20"/>
          <w:szCs w:val="20"/>
          <w:vertAlign w:val="subscript"/>
          <w:lang w:val="en-US"/>
        </w:rPr>
        <w:t xml:space="preserve">2 </w:t>
      </w:r>
      <w:r>
        <w:rPr>
          <w:rStyle w:val="Aucun"/>
          <w:sz w:val="20"/>
          <w:szCs w:val="20"/>
          <w:lang w:val="en-US"/>
        </w:rPr>
        <w:t xml:space="preserve">led to kerogen matrix shrinkage and </w:t>
      </w:r>
      <w:r>
        <w:rPr>
          <w:rStyle w:val="Aucun"/>
          <w:sz w:val="20"/>
          <w:szCs w:val="20"/>
          <w:lang w:val="en-US"/>
        </w:rPr>
        <w:t>decreased CO</w:t>
      </w:r>
      <w:r>
        <w:rPr>
          <w:rStyle w:val="Aucun"/>
          <w:sz w:val="20"/>
          <w:szCs w:val="20"/>
          <w:vertAlign w:val="subscript"/>
          <w:lang w:val="en-US"/>
        </w:rPr>
        <w:t xml:space="preserve">2 </w:t>
      </w:r>
      <w:r>
        <w:rPr>
          <w:rStyle w:val="Aucun"/>
          <w:sz w:val="20"/>
          <w:szCs w:val="20"/>
          <w:lang w:val="en-US"/>
        </w:rPr>
        <w:t>diffusivity compared to that of CH</w:t>
      </w:r>
      <w:r>
        <w:rPr>
          <w:rStyle w:val="Aucun"/>
          <w:sz w:val="20"/>
          <w:szCs w:val="20"/>
          <w:vertAlign w:val="subscript"/>
          <w:lang w:val="en-US"/>
        </w:rPr>
        <w:t xml:space="preserve">4 </w:t>
      </w:r>
      <w:r>
        <w:rPr>
          <w:rStyle w:val="Aucun"/>
          <w:sz w:val="20"/>
          <w:szCs w:val="20"/>
          <w:lang w:val="en-US"/>
        </w:rPr>
        <w:t>at certain conditions due to the stronger intermolecular forces of attraction in CO</w:t>
      </w:r>
      <w:r>
        <w:rPr>
          <w:rStyle w:val="Aucun"/>
          <w:sz w:val="20"/>
          <w:szCs w:val="20"/>
          <w:vertAlign w:val="subscript"/>
          <w:lang w:val="en-US"/>
        </w:rPr>
        <w:t>2</w:t>
      </w:r>
      <w:r>
        <w:rPr>
          <w:rStyle w:val="Aucun"/>
          <w:sz w:val="20"/>
          <w:szCs w:val="20"/>
          <w:lang w:val="en-US"/>
        </w:rPr>
        <w:t xml:space="preserve"> reinforcing fluid-solid couplings. These results raise new issues of </w:t>
      </w:r>
      <w:r>
        <w:rPr>
          <w:rStyle w:val="Aucun"/>
          <w:sz w:val="20"/>
          <w:szCs w:val="20"/>
          <w:lang w:val="en-US"/>
        </w:rPr>
        <w:t>the impact of chemical and mechanical diversity of kerogen on fluid diffusion.</w:t>
      </w:r>
    </w:p>
    <w:p w14:paraId="2C211FB1" w14:textId="77777777" w:rsidR="003A5A4D" w:rsidRDefault="003A5A4D">
      <w:pPr>
        <w:pStyle w:val="Corps"/>
        <w:widowControl w:val="0"/>
        <w:jc w:val="both"/>
        <w:rPr>
          <w:rStyle w:val="Aucun"/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DC98BB1" w14:textId="77777777" w:rsidR="003A5A4D" w:rsidRDefault="00956347">
      <w:pPr>
        <w:pStyle w:val="Corps"/>
        <w:widowControl w:val="0"/>
        <w:rPr>
          <w:rStyle w:val="Aucun"/>
          <w:b/>
          <w:bCs/>
          <w:color w:val="231F20"/>
          <w:sz w:val="20"/>
          <w:szCs w:val="20"/>
          <w:u w:color="231F20"/>
        </w:rPr>
      </w:pPr>
      <w:proofErr w:type="spellStart"/>
      <w:r>
        <w:rPr>
          <w:rStyle w:val="Aucun"/>
          <w:b/>
          <w:bCs/>
          <w:color w:val="231F20"/>
          <w:sz w:val="20"/>
          <w:szCs w:val="20"/>
          <w:u w:color="231F20"/>
        </w:rPr>
        <w:t>References</w:t>
      </w:r>
      <w:proofErr w:type="spellEnd"/>
    </w:p>
    <w:p w14:paraId="0800B63C" w14:textId="77777777" w:rsidR="003A5A4D" w:rsidRDefault="003A5A4D">
      <w:pPr>
        <w:pStyle w:val="Corps"/>
        <w:widowControl w:val="0"/>
        <w:jc w:val="both"/>
        <w:rPr>
          <w:rStyle w:val="Aucun"/>
          <w:rFonts w:ascii="Times New Roman" w:eastAsia="Times New Roman" w:hAnsi="Times New Roman" w:cs="Times New Roman"/>
          <w:sz w:val="20"/>
          <w:szCs w:val="20"/>
        </w:rPr>
      </w:pPr>
    </w:p>
    <w:p w14:paraId="1E5BC05D" w14:textId="77777777" w:rsidR="003A5A4D" w:rsidRDefault="00956347">
      <w:pPr>
        <w:pStyle w:val="NormalWeb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</w:rPr>
        <w:t>[1] K. Falk,</w:t>
      </w:r>
      <w:r>
        <w:rPr>
          <w:rStyle w:val="Aucun"/>
          <w:i/>
          <w:iCs/>
          <w:sz w:val="20"/>
          <w:szCs w:val="20"/>
        </w:rPr>
        <w:t xml:space="preserve"> et al.</w:t>
      </w:r>
      <w:r>
        <w:rPr>
          <w:rStyle w:val="Aucun"/>
          <w:sz w:val="20"/>
          <w:szCs w:val="20"/>
        </w:rPr>
        <w:t xml:space="preserve">, Nature communications, </w:t>
      </w:r>
      <w:proofErr w:type="gramStart"/>
      <w:r>
        <w:rPr>
          <w:rStyle w:val="Aucun"/>
          <w:i/>
          <w:iCs/>
          <w:sz w:val="20"/>
          <w:szCs w:val="20"/>
        </w:rPr>
        <w:t>6</w:t>
      </w:r>
      <w:r>
        <w:rPr>
          <w:rStyle w:val="Aucun"/>
          <w:sz w:val="20"/>
          <w:szCs w:val="20"/>
        </w:rPr>
        <w:t>:</w:t>
      </w:r>
      <w:proofErr w:type="gramEnd"/>
      <w:r>
        <w:rPr>
          <w:rStyle w:val="Aucun"/>
          <w:sz w:val="20"/>
          <w:szCs w:val="20"/>
        </w:rPr>
        <w:t xml:space="preserve"> 6949, 2015. </w:t>
      </w:r>
    </w:p>
    <w:p w14:paraId="40EF7BD6" w14:textId="77777777" w:rsidR="003A5A4D" w:rsidRDefault="00956347">
      <w:pPr>
        <w:pStyle w:val="NormalWeb"/>
        <w:rPr>
          <w:rStyle w:val="Aucun"/>
          <w:sz w:val="20"/>
          <w:szCs w:val="20"/>
          <w:lang w:val="en-US"/>
        </w:rPr>
      </w:pPr>
      <w:r>
        <w:rPr>
          <w:rStyle w:val="Aucun"/>
          <w:sz w:val="20"/>
          <w:szCs w:val="20"/>
          <w:lang w:val="en-US"/>
        </w:rPr>
        <w:t xml:space="preserve">[2] </w:t>
      </w:r>
      <w:r>
        <w:rPr>
          <w:sz w:val="20"/>
          <w:szCs w:val="20"/>
          <w:lang w:val="en-US"/>
        </w:rPr>
        <w:t xml:space="preserve">J. </w:t>
      </w:r>
      <w:proofErr w:type="spellStart"/>
      <w:r>
        <w:rPr>
          <w:sz w:val="20"/>
          <w:szCs w:val="20"/>
          <w:lang w:val="en-US"/>
        </w:rPr>
        <w:t>Collell</w:t>
      </w:r>
      <w:proofErr w:type="spellEnd"/>
      <w:r>
        <w:rPr>
          <w:sz w:val="20"/>
          <w:szCs w:val="20"/>
          <w:lang w:val="en-US"/>
        </w:rPr>
        <w:t xml:space="preserve"> </w:t>
      </w:r>
      <w:r>
        <w:rPr>
          <w:i/>
          <w:iCs/>
          <w:sz w:val="20"/>
          <w:szCs w:val="20"/>
          <w:lang w:val="en-US"/>
        </w:rPr>
        <w:t>et al.</w:t>
      </w:r>
      <w:r>
        <w:rPr>
          <w:sz w:val="20"/>
          <w:szCs w:val="20"/>
          <w:lang w:val="en-US"/>
        </w:rPr>
        <w:t xml:space="preserve">, </w:t>
      </w:r>
      <w:r>
        <w:rPr>
          <w:rStyle w:val="Aucun"/>
          <w:sz w:val="20"/>
          <w:szCs w:val="20"/>
          <w:lang w:val="en-US"/>
        </w:rPr>
        <w:t>The Journal of Physical Chemistry C</w:t>
      </w:r>
      <w:r>
        <w:rPr>
          <w:sz w:val="20"/>
          <w:szCs w:val="20"/>
          <w:lang w:val="en-US"/>
        </w:rPr>
        <w:t xml:space="preserve">, </w:t>
      </w:r>
      <w:r>
        <w:rPr>
          <w:i/>
          <w:iCs/>
          <w:sz w:val="20"/>
          <w:szCs w:val="20"/>
          <w:lang w:val="en-US"/>
        </w:rPr>
        <w:t>119</w:t>
      </w:r>
      <w:r>
        <w:rPr>
          <w:sz w:val="20"/>
          <w:szCs w:val="20"/>
          <w:lang w:val="en-US"/>
        </w:rPr>
        <w:t>(39): 22587–22595, 2015.</w:t>
      </w:r>
    </w:p>
    <w:p w14:paraId="3E6EA898" w14:textId="77777777" w:rsidR="003A5A4D" w:rsidRDefault="00956347">
      <w:pPr>
        <w:pStyle w:val="Corps"/>
        <w:widowControl w:val="0"/>
        <w:jc w:val="both"/>
        <w:rPr>
          <w:rStyle w:val="Aucun"/>
          <w:sz w:val="20"/>
          <w:szCs w:val="20"/>
          <w:lang w:val="en-US"/>
        </w:rPr>
      </w:pPr>
      <w:r>
        <w:rPr>
          <w:rStyle w:val="Aucun"/>
          <w:rFonts w:ascii="Times New Roman" w:hAnsi="Times New Roman"/>
          <w:sz w:val="20"/>
          <w:szCs w:val="20"/>
          <w:lang w:val="pt-PT"/>
        </w:rPr>
        <w:t xml:space="preserve">[3] </w:t>
      </w:r>
      <w:r>
        <w:rPr>
          <w:rStyle w:val="Aucun"/>
          <w:rFonts w:ascii="Times New Roman" w:hAnsi="Times New Roman"/>
          <w:sz w:val="20"/>
          <w:szCs w:val="20"/>
          <w:lang w:val="en-US"/>
        </w:rPr>
        <w:t xml:space="preserve">A. Obliger </w:t>
      </w:r>
      <w:r>
        <w:rPr>
          <w:rStyle w:val="Aucun"/>
          <w:rFonts w:ascii="Times New Roman" w:hAnsi="Times New Roman"/>
          <w:i/>
          <w:iCs/>
          <w:sz w:val="20"/>
          <w:szCs w:val="20"/>
          <w:lang w:val="nl-NL"/>
        </w:rPr>
        <w:t>et al.</w:t>
      </w:r>
      <w:r>
        <w:rPr>
          <w:rStyle w:val="Aucun"/>
          <w:rFonts w:ascii="Times New Roman" w:hAnsi="Times New Roman"/>
          <w:sz w:val="20"/>
          <w:szCs w:val="20"/>
          <w:lang w:val="en-US"/>
        </w:rPr>
        <w:t>, Journal of Physical Chemistry B,</w:t>
      </w:r>
      <w:r>
        <w:rPr>
          <w:rStyle w:val="Aucun"/>
          <w:rFonts w:ascii="Times New Roman" w:hAnsi="Times New Roman"/>
          <w:i/>
          <w:iCs/>
          <w:sz w:val="20"/>
          <w:szCs w:val="20"/>
          <w:lang w:val="en-US"/>
        </w:rPr>
        <w:t xml:space="preserve"> </w:t>
      </w:r>
      <w:r>
        <w:rPr>
          <w:rStyle w:val="Aucun"/>
          <w:rFonts w:ascii="Times New Roman" w:hAnsi="Times New Roman"/>
          <w:sz w:val="20"/>
          <w:szCs w:val="20"/>
          <w:lang w:val="en-US"/>
        </w:rPr>
        <w:t>123(26):5635–5640, 2019.</w:t>
      </w:r>
    </w:p>
    <w:p w14:paraId="36469F9E" w14:textId="77777777" w:rsidR="003A5A4D" w:rsidRDefault="003A5A4D">
      <w:pPr>
        <w:pStyle w:val="Corps"/>
        <w:widowControl w:val="0"/>
        <w:jc w:val="both"/>
        <w:rPr>
          <w:rStyle w:val="Aucun"/>
          <w:color w:val="231F20"/>
          <w:sz w:val="20"/>
          <w:szCs w:val="20"/>
          <w:u w:color="231F20"/>
          <w:lang w:val="en-US"/>
        </w:rPr>
      </w:pPr>
    </w:p>
    <w:p w14:paraId="4E66466A" w14:textId="77777777" w:rsidR="003A5A4D" w:rsidRDefault="003A5A4D">
      <w:pPr>
        <w:pStyle w:val="Corps"/>
        <w:widowControl w:val="0"/>
        <w:rPr>
          <w:rStyle w:val="Aucun"/>
          <w:color w:val="231F20"/>
          <w:sz w:val="20"/>
          <w:szCs w:val="20"/>
          <w:u w:color="231F20"/>
          <w:lang w:val="en-US"/>
        </w:rPr>
      </w:pPr>
    </w:p>
    <w:p w14:paraId="44A83E6D" w14:textId="77777777" w:rsidR="003A5A4D" w:rsidRDefault="003A5A4D">
      <w:pPr>
        <w:pStyle w:val="Corps"/>
        <w:widowControl w:val="0"/>
        <w:rPr>
          <w:lang w:val="en-US"/>
        </w:rPr>
      </w:pPr>
    </w:p>
    <w:p w14:paraId="056FC759" w14:textId="77777777" w:rsidR="003A5A4D" w:rsidRDefault="003A5A4D">
      <w:pPr>
        <w:pStyle w:val="Corps"/>
        <w:widowControl w:val="0"/>
        <w:jc w:val="center"/>
        <w:rPr>
          <w:rStyle w:val="Aucun"/>
          <w:color w:val="231F20"/>
          <w:u w:color="231F20"/>
          <w:lang w:val="en-US"/>
        </w:rPr>
      </w:pPr>
    </w:p>
    <w:p w14:paraId="2C3F5C74" w14:textId="77777777" w:rsidR="003A5A4D" w:rsidRDefault="003A5A4D">
      <w:pPr>
        <w:pStyle w:val="Corps"/>
        <w:widowControl w:val="0"/>
        <w:rPr>
          <w:lang w:val="en-US"/>
        </w:rPr>
      </w:pPr>
    </w:p>
    <w:sectPr w:rsidR="003A5A4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4B703" w14:textId="77777777" w:rsidR="00956347" w:rsidRDefault="00956347">
      <w:r>
        <w:separator/>
      </w:r>
    </w:p>
  </w:endnote>
  <w:endnote w:type="continuationSeparator" w:id="0">
    <w:p w14:paraId="5088DCDC" w14:textId="77777777" w:rsidR="00956347" w:rsidRDefault="0095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658D" w14:textId="77777777" w:rsidR="003A5A4D" w:rsidRDefault="003A5A4D">
    <w:pPr>
      <w:pStyle w:val="Footer"/>
      <w:rPr>
        <w:sz w:val="20"/>
        <w:szCs w:val="2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DE382" w14:textId="77777777" w:rsidR="00956347" w:rsidRDefault="00956347">
      <w:r>
        <w:separator/>
      </w:r>
    </w:p>
  </w:footnote>
  <w:footnote w:type="continuationSeparator" w:id="0">
    <w:p w14:paraId="386BFF8A" w14:textId="77777777" w:rsidR="00956347" w:rsidRDefault="00956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29DC" w14:textId="77777777" w:rsidR="003A5A4D" w:rsidRDefault="003A5A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A4D"/>
    <w:rsid w:val="003A5A4D"/>
    <w:rsid w:val="00956347"/>
    <w:rsid w:val="00C3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12FFB0"/>
  <w15:docId w15:val="{D3E4FC6B-6FB4-584B-B7CF-71D14564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rPr>
      <w:u w:val="single"/>
    </w:rPr>
  </w:style>
  <w:style w:type="character" w:customStyle="1" w:styleId="Aucun">
    <w:name w:val="Aucun"/>
    <w:qFormat/>
  </w:style>
  <w:style w:type="character" w:customStyle="1" w:styleId="apple-converted-space">
    <w:name w:val="apple-converted-space"/>
    <w:basedOn w:val="DefaultParagraphFont"/>
    <w:qFormat/>
    <w:rsid w:val="0061502C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uppressAutoHyphens/>
    </w:pPr>
    <w:rPr>
      <w:rFonts w:ascii="Times" w:hAnsi="Times" w:cs="Arial Unicode MS"/>
      <w:color w:val="000000"/>
      <w:u w:color="000000"/>
    </w:rPr>
  </w:style>
  <w:style w:type="paragraph" w:customStyle="1" w:styleId="Corps">
    <w:name w:val="Corps"/>
    <w:qFormat/>
    <w:rPr>
      <w:rFonts w:ascii="Times" w:hAnsi="Times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uiPriority w:val="99"/>
    <w:qFormat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rgbClr val="FFFFFF"/>
        </a:solidFill>
        <a:solidFill>
          <a:srgbClr val="FFFFFF"/>
        </a:solidFill>
        <a:solidFill>
          <a:srgbClr val="FFFFFF"/>
        </a:solidFill>
      </a:fillStyleLst>
      <a:lnStyleLst>
        <a:ln>
          <a:solidFill>
            <a:srgbClr val="000000"/>
          </a:solidFill>
        </a:ln>
        <a:ln>
          <a:solidFill>
            <a:srgbClr val="000000"/>
          </a:solidFill>
        </a:ln>
        <a:ln>
          <a:solidFill>
            <a:srgbClr val="000000"/>
          </a:solidFill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rgbClr val="FFFFFF"/>
        </a:solidFill>
        <a:solidFill>
          <a:srgbClr val="FFFFFF"/>
        </a:solidFill>
        <a:solidFill>
          <a:srgbClr val="FFFFFF"/>
        </a:soli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Кристина Арискина</cp:lastModifiedBy>
  <cp:revision>2</cp:revision>
  <dcterms:created xsi:type="dcterms:W3CDTF">2022-01-17T21:05:00Z</dcterms:created>
  <dcterms:modified xsi:type="dcterms:W3CDTF">2022-01-17T21:05:00Z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