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E2" w:rsidRDefault="006407E2" w:rsidP="00A54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Pr="006407E2">
        <w:rPr>
          <w:rFonts w:ascii="Times New Roman" w:hAnsi="Times New Roman" w:cs="Times New Roman"/>
          <w:b/>
          <w:sz w:val="24"/>
        </w:rPr>
        <w:t>ransition from viscous fingers to compact displacement during unstable drainage in porous media</w:t>
      </w:r>
    </w:p>
    <w:p w:rsidR="006407E2" w:rsidRDefault="006407E2" w:rsidP="00A54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54F10" w:rsidRPr="006407E2" w:rsidRDefault="006407E2" w:rsidP="00A54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b-NO"/>
        </w:rPr>
      </w:pPr>
      <w:r w:rsidRPr="006407E2">
        <w:rPr>
          <w:rFonts w:ascii="Times New Roman" w:hAnsi="Times New Roman" w:cs="Times New Roman"/>
          <w:lang w:val="nb-NO"/>
        </w:rPr>
        <w:t>Marcel Moura</w:t>
      </w:r>
      <w:r w:rsidRPr="006407E2">
        <w:rPr>
          <w:rFonts w:ascii="Times New Roman" w:hAnsi="Times New Roman" w:cs="Times New Roman"/>
          <w:vertAlign w:val="superscript"/>
          <w:lang w:val="nb-NO"/>
        </w:rPr>
        <w:t>1</w:t>
      </w:r>
      <w:r w:rsidRPr="006407E2">
        <w:rPr>
          <w:rFonts w:ascii="Times New Roman" w:hAnsi="Times New Roman" w:cs="Times New Roman"/>
          <w:lang w:val="nb-NO"/>
        </w:rPr>
        <w:t>*</w:t>
      </w:r>
      <w:r w:rsidRPr="006407E2">
        <w:rPr>
          <w:rFonts w:ascii="Times New Roman" w:hAnsi="Times New Roman" w:cs="Times New Roman"/>
          <w:lang w:val="nb-NO"/>
        </w:rPr>
        <w:t>, Fredrik K. Eriksen</w:t>
      </w:r>
      <w:r w:rsidRPr="006407E2">
        <w:rPr>
          <w:rFonts w:ascii="Times New Roman" w:hAnsi="Times New Roman" w:cs="Times New Roman"/>
          <w:vertAlign w:val="superscript"/>
          <w:lang w:val="nb-NO"/>
        </w:rPr>
        <w:t>1</w:t>
      </w:r>
      <w:r w:rsidRPr="006407E2">
        <w:rPr>
          <w:rFonts w:ascii="Times New Roman" w:hAnsi="Times New Roman" w:cs="Times New Roman"/>
          <w:lang w:val="nb-NO"/>
        </w:rPr>
        <w:t>, Mihailo Jankov</w:t>
      </w:r>
      <w:r w:rsidRPr="006407E2">
        <w:rPr>
          <w:rFonts w:ascii="Times New Roman" w:hAnsi="Times New Roman" w:cs="Times New Roman"/>
          <w:vertAlign w:val="superscript"/>
          <w:lang w:val="nb-NO"/>
        </w:rPr>
        <w:t>1</w:t>
      </w:r>
      <w:r w:rsidRPr="006407E2">
        <w:rPr>
          <w:rFonts w:ascii="Times New Roman" w:hAnsi="Times New Roman" w:cs="Times New Roman"/>
          <w:lang w:val="nb-NO"/>
        </w:rPr>
        <w:t>, Antoine L. Turquet</w:t>
      </w:r>
      <w:r>
        <w:rPr>
          <w:rFonts w:ascii="Times New Roman" w:hAnsi="Times New Roman" w:cs="Times New Roman"/>
          <w:vertAlign w:val="superscript"/>
          <w:lang w:val="nb-NO"/>
        </w:rPr>
        <w:t>2</w:t>
      </w:r>
      <w:r w:rsidRPr="006407E2">
        <w:rPr>
          <w:rFonts w:ascii="Times New Roman" w:hAnsi="Times New Roman" w:cs="Times New Roman"/>
          <w:lang w:val="nb-NO"/>
        </w:rPr>
        <w:t xml:space="preserve"> and</w:t>
      </w:r>
      <w:r w:rsidR="00A54F10" w:rsidRPr="006407E2">
        <w:rPr>
          <w:rFonts w:ascii="Times New Roman" w:hAnsi="Times New Roman" w:cs="Times New Roman"/>
          <w:lang w:val="nb-NO"/>
        </w:rPr>
        <w:t xml:space="preserve"> Knut Jørgen Måløy</w:t>
      </w:r>
      <w:r w:rsidR="00A54F10" w:rsidRPr="006407E2">
        <w:rPr>
          <w:rFonts w:ascii="Times New Roman" w:hAnsi="Times New Roman" w:cs="Times New Roman"/>
          <w:vertAlign w:val="superscript"/>
          <w:lang w:val="nb-NO"/>
        </w:rPr>
        <w:t>1</w:t>
      </w:r>
      <w:r>
        <w:rPr>
          <w:rFonts w:ascii="Times New Roman" w:hAnsi="Times New Roman" w:cs="Times New Roman"/>
          <w:vertAlign w:val="superscript"/>
          <w:lang w:val="nb-NO"/>
        </w:rPr>
        <w:t>,3</w:t>
      </w:r>
    </w:p>
    <w:p w:rsidR="006A257E" w:rsidRDefault="006A257E" w:rsidP="00A54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54F10" w:rsidRPr="00266E4D" w:rsidRDefault="00A54F10" w:rsidP="00A54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66E4D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266E4D">
        <w:rPr>
          <w:rFonts w:ascii="Times New Roman" w:hAnsi="Times New Roman" w:cs="Times New Roman"/>
          <w:sz w:val="18"/>
          <w:szCs w:val="18"/>
        </w:rPr>
        <w:t xml:space="preserve">PoreLab, The </w:t>
      </w:r>
      <w:proofErr w:type="spellStart"/>
      <w:r w:rsidRPr="00266E4D">
        <w:rPr>
          <w:rFonts w:ascii="Times New Roman" w:hAnsi="Times New Roman" w:cs="Times New Roman"/>
          <w:sz w:val="18"/>
          <w:szCs w:val="18"/>
        </w:rPr>
        <w:t>Njord</w:t>
      </w:r>
      <w:proofErr w:type="spellEnd"/>
      <w:r w:rsidRPr="00266E4D">
        <w:rPr>
          <w:rFonts w:ascii="Times New Roman" w:hAnsi="Times New Roman" w:cs="Times New Roman"/>
          <w:sz w:val="18"/>
          <w:szCs w:val="18"/>
        </w:rPr>
        <w:t xml:space="preserve"> Centre, Department of Physics, University of Oslo, Oslo, Norway.</w:t>
      </w:r>
    </w:p>
    <w:p w:rsidR="00A54F10" w:rsidRPr="00266E4D" w:rsidRDefault="00A54F10" w:rsidP="00A54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fr-CA"/>
        </w:rPr>
      </w:pPr>
      <w:r w:rsidRPr="00266E4D">
        <w:rPr>
          <w:rFonts w:ascii="Times New Roman" w:hAnsi="Times New Roman" w:cs="Times New Roman"/>
          <w:sz w:val="18"/>
          <w:szCs w:val="18"/>
          <w:vertAlign w:val="superscript"/>
          <w:lang w:val="fr-CA"/>
        </w:rPr>
        <w:t>2</w:t>
      </w:r>
      <w:r w:rsidR="006407E2" w:rsidRPr="00266E4D">
        <w:rPr>
          <w:rFonts w:ascii="Times New Roman" w:hAnsi="Times New Roman" w:cs="Times New Roman"/>
          <w:sz w:val="18"/>
          <w:szCs w:val="18"/>
          <w:lang w:val="fr-CA"/>
        </w:rPr>
        <w:t xml:space="preserve">NORSAR, </w:t>
      </w:r>
      <w:proofErr w:type="spellStart"/>
      <w:r w:rsidR="006407E2" w:rsidRPr="00266E4D">
        <w:rPr>
          <w:rFonts w:ascii="Times New Roman" w:hAnsi="Times New Roman" w:cs="Times New Roman"/>
          <w:sz w:val="18"/>
          <w:szCs w:val="18"/>
          <w:lang w:val="fr-CA"/>
        </w:rPr>
        <w:t>Kjeller</w:t>
      </w:r>
      <w:proofErr w:type="spellEnd"/>
      <w:r w:rsidR="006407E2" w:rsidRPr="00266E4D">
        <w:rPr>
          <w:rFonts w:ascii="Times New Roman" w:hAnsi="Times New Roman" w:cs="Times New Roman"/>
          <w:sz w:val="18"/>
          <w:szCs w:val="18"/>
          <w:lang w:val="fr-CA"/>
        </w:rPr>
        <w:t xml:space="preserve">, </w:t>
      </w:r>
      <w:proofErr w:type="spellStart"/>
      <w:r w:rsidR="006407E2" w:rsidRPr="00266E4D">
        <w:rPr>
          <w:rFonts w:ascii="Times New Roman" w:hAnsi="Times New Roman" w:cs="Times New Roman"/>
          <w:sz w:val="18"/>
          <w:szCs w:val="18"/>
          <w:lang w:val="fr-CA"/>
        </w:rPr>
        <w:t>Norway</w:t>
      </w:r>
      <w:proofErr w:type="spellEnd"/>
      <w:r w:rsidRPr="00266E4D">
        <w:rPr>
          <w:rFonts w:ascii="Times New Roman" w:hAnsi="Times New Roman" w:cs="Times New Roman"/>
          <w:sz w:val="18"/>
          <w:szCs w:val="18"/>
          <w:lang w:val="fr-CA"/>
        </w:rPr>
        <w:t>.</w:t>
      </w:r>
    </w:p>
    <w:p w:rsidR="006407E2" w:rsidRPr="00266E4D" w:rsidRDefault="006407E2" w:rsidP="0064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6E4D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266E4D">
        <w:rPr>
          <w:rFonts w:ascii="Times New Roman" w:hAnsi="Times New Roman" w:cs="Times New Roman"/>
          <w:sz w:val="18"/>
          <w:szCs w:val="18"/>
        </w:rPr>
        <w:t xml:space="preserve">PoreLab, </w:t>
      </w:r>
      <w:r w:rsidRPr="00266E4D">
        <w:rPr>
          <w:rFonts w:ascii="Times New Roman" w:hAnsi="Times New Roman" w:cs="Times New Roman"/>
          <w:sz w:val="18"/>
          <w:szCs w:val="18"/>
        </w:rPr>
        <w:t>Department of Geoscience and Petroleum, Norwegian University of Science and Technology, Tr</w:t>
      </w:r>
      <w:r w:rsidRPr="00266E4D">
        <w:rPr>
          <w:rFonts w:ascii="Times New Roman" w:hAnsi="Times New Roman" w:cs="Times New Roman"/>
          <w:sz w:val="18"/>
          <w:szCs w:val="18"/>
        </w:rPr>
        <w:t>o</w:t>
      </w:r>
      <w:r w:rsidRPr="00266E4D">
        <w:rPr>
          <w:rFonts w:ascii="Times New Roman" w:hAnsi="Times New Roman" w:cs="Times New Roman"/>
          <w:sz w:val="18"/>
          <w:szCs w:val="18"/>
        </w:rPr>
        <w:t>ndheim</w:t>
      </w:r>
      <w:r w:rsidRPr="00266E4D">
        <w:rPr>
          <w:rFonts w:ascii="Times New Roman" w:hAnsi="Times New Roman" w:cs="Times New Roman"/>
          <w:sz w:val="18"/>
          <w:szCs w:val="18"/>
        </w:rPr>
        <w:t>, Norway.</w:t>
      </w:r>
    </w:p>
    <w:p w:rsidR="006407E2" w:rsidRPr="006407E2" w:rsidRDefault="006407E2" w:rsidP="00A54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4F10" w:rsidRPr="006407E2" w:rsidRDefault="00A54F10" w:rsidP="00A54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86C" w:rsidRDefault="006407E2" w:rsidP="00AD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We have performed a</w:t>
      </w:r>
      <w:r w:rsidRPr="006407E2">
        <w:rPr>
          <w:rFonts w:ascii="Times New Roman" w:hAnsi="Times New Roman" w:cs="Times New Roman"/>
          <w:szCs w:val="20"/>
        </w:rPr>
        <w:t xml:space="preserve"> series of drainage experiments in a radial porous Hele-Shaw cell where</w:t>
      </w:r>
      <w:r>
        <w:rPr>
          <w:rFonts w:ascii="Times New Roman" w:hAnsi="Times New Roman" w:cs="Times New Roman"/>
          <w:szCs w:val="20"/>
        </w:rPr>
        <w:t xml:space="preserve"> we systematically varied</w:t>
      </w:r>
      <w:r w:rsidRPr="006407E2">
        <w:rPr>
          <w:rFonts w:ascii="Times New Roman" w:hAnsi="Times New Roman" w:cs="Times New Roman"/>
          <w:szCs w:val="20"/>
        </w:rPr>
        <w:t xml:space="preserve"> the viscosity of the defending (wetting) fluid, and the overpressure of the invading (non-wetting) fluid to map out the resulting invasion structures as a function of viscosity ratio and injection pressure</w:t>
      </w:r>
      <w:r w:rsidR="006A257E">
        <w:rPr>
          <w:rFonts w:ascii="Times New Roman" w:hAnsi="Times New Roman" w:cs="Times New Roman"/>
          <w:szCs w:val="20"/>
        </w:rPr>
        <w:t xml:space="preserve"> (see Figure 1)</w:t>
      </w:r>
      <w:r w:rsidRPr="006407E2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</w:t>
      </w:r>
      <w:r w:rsidRPr="006407E2">
        <w:rPr>
          <w:rFonts w:ascii="Times New Roman" w:hAnsi="Times New Roman" w:cs="Times New Roman"/>
          <w:szCs w:val="20"/>
        </w:rPr>
        <w:t>We describe</w:t>
      </w:r>
      <w:r>
        <w:rPr>
          <w:rFonts w:ascii="Times New Roman" w:hAnsi="Times New Roman" w:cs="Times New Roman"/>
          <w:szCs w:val="20"/>
        </w:rPr>
        <w:t>d</w:t>
      </w:r>
      <w:r w:rsidRPr="006407E2">
        <w:rPr>
          <w:rFonts w:ascii="Times New Roman" w:hAnsi="Times New Roman" w:cs="Times New Roman"/>
          <w:szCs w:val="20"/>
        </w:rPr>
        <w:t xml:space="preserve"> a </w:t>
      </w:r>
      <w:proofErr w:type="gramStart"/>
      <w:r w:rsidRPr="006407E2">
        <w:rPr>
          <w:rFonts w:ascii="Times New Roman" w:hAnsi="Times New Roman" w:cs="Times New Roman"/>
          <w:szCs w:val="20"/>
        </w:rPr>
        <w:t>cross-over</w:t>
      </w:r>
      <w:proofErr w:type="gramEnd"/>
      <w:r w:rsidRPr="006407E2">
        <w:rPr>
          <w:rFonts w:ascii="Times New Roman" w:hAnsi="Times New Roman" w:cs="Times New Roman"/>
          <w:szCs w:val="20"/>
        </w:rPr>
        <w:t xml:space="preserve"> from the viscous fingering instability to a compact invasion regime during viscously unstable drainage of porous media, and we investigate</w:t>
      </w:r>
      <w:r>
        <w:rPr>
          <w:rFonts w:ascii="Times New Roman" w:hAnsi="Times New Roman" w:cs="Times New Roman"/>
          <w:szCs w:val="20"/>
        </w:rPr>
        <w:t>d</w:t>
      </w:r>
      <w:r w:rsidRPr="006407E2">
        <w:rPr>
          <w:rFonts w:ascii="Times New Roman" w:hAnsi="Times New Roman" w:cs="Times New Roman"/>
          <w:szCs w:val="20"/>
        </w:rPr>
        <w:t xml:space="preserve"> the underlying mechanisms of this compact fluid displacement. We </w:t>
      </w:r>
      <w:r>
        <w:rPr>
          <w:rFonts w:ascii="Times New Roman" w:hAnsi="Times New Roman" w:cs="Times New Roman"/>
          <w:szCs w:val="20"/>
        </w:rPr>
        <w:t xml:space="preserve">have </w:t>
      </w:r>
      <w:r w:rsidRPr="006407E2">
        <w:rPr>
          <w:rFonts w:ascii="Times New Roman" w:hAnsi="Times New Roman" w:cs="Times New Roman"/>
          <w:szCs w:val="20"/>
        </w:rPr>
        <w:t>show</w:t>
      </w:r>
      <w:r>
        <w:rPr>
          <w:rFonts w:ascii="Times New Roman" w:hAnsi="Times New Roman" w:cs="Times New Roman"/>
          <w:szCs w:val="20"/>
        </w:rPr>
        <w:t>n</w:t>
      </w:r>
      <w:r w:rsidRPr="006407E2">
        <w:rPr>
          <w:rFonts w:ascii="Times New Roman" w:hAnsi="Times New Roman" w:cs="Times New Roman"/>
          <w:szCs w:val="20"/>
        </w:rPr>
        <w:t xml:space="preserve"> that above a threshold of injection pressure </w:t>
      </w:r>
      <w:r w:rsidR="00266E4D">
        <w:rPr>
          <w:rFonts w:ascii="Times New Roman" w:hAnsi="Times New Roman" w:cs="Times New Roman"/>
          <w:szCs w:val="20"/>
        </w:rPr>
        <w:t xml:space="preserve">and for </w:t>
      </w:r>
      <w:proofErr w:type="gramStart"/>
      <w:r w:rsidR="00266E4D">
        <w:rPr>
          <w:rFonts w:ascii="Times New Roman" w:hAnsi="Times New Roman" w:cs="Times New Roman"/>
          <w:szCs w:val="20"/>
        </w:rPr>
        <w:t>low</w:t>
      </w:r>
      <w:proofErr w:type="gramEnd"/>
      <w:r w:rsidR="00266E4D">
        <w:rPr>
          <w:rFonts w:ascii="Times New Roman" w:hAnsi="Times New Roman" w:cs="Times New Roman"/>
          <w:szCs w:val="20"/>
        </w:rPr>
        <w:t xml:space="preserve"> enough viscosity of the defending fluid,</w:t>
      </w:r>
      <w:r w:rsidRPr="006407E2">
        <w:rPr>
          <w:rFonts w:ascii="Times New Roman" w:hAnsi="Times New Roman" w:cs="Times New Roman"/>
          <w:szCs w:val="20"/>
        </w:rPr>
        <w:t xml:space="preserve"> a more stable and compact invasion structure emerges within the viscous fingering patterns, i.e. a roughly circular displacement with viscous fingers on the outside. We </w:t>
      </w:r>
      <w:r>
        <w:rPr>
          <w:rFonts w:ascii="Times New Roman" w:hAnsi="Times New Roman" w:cs="Times New Roman"/>
          <w:szCs w:val="20"/>
        </w:rPr>
        <w:t>found</w:t>
      </w:r>
      <w:r w:rsidRPr="006407E2">
        <w:rPr>
          <w:rFonts w:ascii="Times New Roman" w:hAnsi="Times New Roman" w:cs="Times New Roman"/>
          <w:szCs w:val="20"/>
        </w:rPr>
        <w:t xml:space="preserve"> that the ratio between the length of the outer fingers and the size of the compact invasion scales with the </w:t>
      </w:r>
      <w:r w:rsidR="00266E4D">
        <w:rPr>
          <w:rFonts w:ascii="Times New Roman" w:hAnsi="Times New Roman" w:cs="Times New Roman"/>
          <w:szCs w:val="20"/>
        </w:rPr>
        <w:t xml:space="preserve">viscosity ratio of the fluid phases </w:t>
      </w:r>
      <w:r w:rsidRPr="006407E2">
        <w:rPr>
          <w:rFonts w:ascii="Times New Roman" w:hAnsi="Times New Roman" w:cs="Times New Roman"/>
          <w:szCs w:val="20"/>
        </w:rPr>
        <w:t xml:space="preserve">and approaches </w:t>
      </w:r>
      <w:r w:rsidR="002B6596">
        <w:rPr>
          <w:rFonts w:ascii="Times New Roman" w:hAnsi="Times New Roman" w:cs="Times New Roman"/>
          <w:szCs w:val="20"/>
        </w:rPr>
        <w:t xml:space="preserve">an approximately </w:t>
      </w:r>
      <w:r w:rsidRPr="006407E2">
        <w:rPr>
          <w:rFonts w:ascii="Times New Roman" w:hAnsi="Times New Roman" w:cs="Times New Roman"/>
          <w:szCs w:val="20"/>
        </w:rPr>
        <w:t xml:space="preserve">constant value during growth, resulting in structures with proportionate growth and larger compact invasions for </w:t>
      </w:r>
      <w:r w:rsidR="002B6596">
        <w:rPr>
          <w:rFonts w:ascii="Times New Roman" w:hAnsi="Times New Roman" w:cs="Times New Roman"/>
          <w:szCs w:val="20"/>
        </w:rPr>
        <w:t>lower viscosity of the defending fluid</w:t>
      </w:r>
      <w:r w:rsidRPr="006407E2">
        <w:rPr>
          <w:rFonts w:ascii="Times New Roman" w:hAnsi="Times New Roman" w:cs="Times New Roman"/>
          <w:szCs w:val="20"/>
        </w:rPr>
        <w:t xml:space="preserve">. As opposed to the viscous fingering instability, we </w:t>
      </w:r>
      <w:r w:rsidR="002B6596">
        <w:rPr>
          <w:rFonts w:ascii="Times New Roman" w:hAnsi="Times New Roman" w:cs="Times New Roman"/>
          <w:szCs w:val="20"/>
        </w:rPr>
        <w:t>observed</w:t>
      </w:r>
      <w:r w:rsidRPr="006407E2">
        <w:rPr>
          <w:rFonts w:ascii="Times New Roman" w:hAnsi="Times New Roman" w:cs="Times New Roman"/>
          <w:szCs w:val="20"/>
        </w:rPr>
        <w:t xml:space="preserve"> rich ganglion dynamics within the compact invasion structures and show</w:t>
      </w:r>
      <w:r w:rsidR="002B6596">
        <w:rPr>
          <w:rFonts w:ascii="Times New Roman" w:hAnsi="Times New Roman" w:cs="Times New Roman"/>
          <w:szCs w:val="20"/>
        </w:rPr>
        <w:t>ed</w:t>
      </w:r>
      <w:r w:rsidRPr="006407E2">
        <w:rPr>
          <w:rFonts w:ascii="Times New Roman" w:hAnsi="Times New Roman" w:cs="Times New Roman"/>
          <w:szCs w:val="20"/>
        </w:rPr>
        <w:t xml:space="preserve"> that the </w:t>
      </w:r>
      <w:proofErr w:type="gramStart"/>
      <w:r w:rsidRPr="006407E2">
        <w:rPr>
          <w:rFonts w:ascii="Times New Roman" w:hAnsi="Times New Roman" w:cs="Times New Roman"/>
          <w:szCs w:val="20"/>
        </w:rPr>
        <w:t>pressure gradient is not screened by the outer fingers</w:t>
      </w:r>
      <w:proofErr w:type="gramEnd"/>
      <w:r w:rsidRPr="006407E2">
        <w:rPr>
          <w:rFonts w:ascii="Times New Roman" w:hAnsi="Times New Roman" w:cs="Times New Roman"/>
          <w:szCs w:val="20"/>
        </w:rPr>
        <w:t xml:space="preserve">. </w:t>
      </w:r>
      <w:r w:rsidR="006A257E">
        <w:rPr>
          <w:rFonts w:ascii="Times New Roman" w:hAnsi="Times New Roman" w:cs="Times New Roman"/>
          <w:szCs w:val="20"/>
        </w:rPr>
        <w:t>We introduced a new concept called the</w:t>
      </w:r>
      <w:r w:rsidR="00266E4D">
        <w:rPr>
          <w:rFonts w:ascii="Times New Roman" w:hAnsi="Times New Roman" w:cs="Times New Roman"/>
          <w:szCs w:val="20"/>
        </w:rPr>
        <w:t xml:space="preserve"> flipping matrix</w:t>
      </w:r>
      <w:r w:rsidR="006A257E">
        <w:rPr>
          <w:rFonts w:ascii="Times New Roman" w:hAnsi="Times New Roman" w:cs="Times New Roman"/>
          <w:szCs w:val="20"/>
        </w:rPr>
        <w:t xml:space="preserve"> </w:t>
      </w:r>
      <w:r w:rsidR="00266E4D">
        <w:rPr>
          <w:rFonts w:ascii="Times New Roman" w:hAnsi="Times New Roman" w:cs="Times New Roman"/>
          <w:szCs w:val="20"/>
        </w:rPr>
        <w:t xml:space="preserve">to study the ganglion dynamics. Two global measures derived </w:t>
      </w:r>
      <w:r w:rsidR="006A257E">
        <w:rPr>
          <w:rFonts w:ascii="Times New Roman" w:hAnsi="Times New Roman" w:cs="Times New Roman"/>
          <w:szCs w:val="20"/>
        </w:rPr>
        <w:t>over</w:t>
      </w:r>
      <w:r w:rsidR="00266E4D">
        <w:rPr>
          <w:rFonts w:ascii="Times New Roman" w:hAnsi="Times New Roman" w:cs="Times New Roman"/>
          <w:szCs w:val="20"/>
        </w:rPr>
        <w:t xml:space="preserve"> this </w:t>
      </w:r>
      <w:r w:rsidR="006A257E">
        <w:rPr>
          <w:rFonts w:ascii="Times New Roman" w:hAnsi="Times New Roman" w:cs="Times New Roman"/>
          <w:szCs w:val="20"/>
        </w:rPr>
        <w:t>matrix</w:t>
      </w:r>
      <w:r w:rsidR="00266E4D">
        <w:rPr>
          <w:rFonts w:ascii="Times New Roman" w:hAnsi="Times New Roman" w:cs="Times New Roman"/>
          <w:szCs w:val="20"/>
        </w:rPr>
        <w:t xml:space="preserve"> allowed us to give a quantitative description of the intensity of the ganglion dynamics activity.</w:t>
      </w:r>
    </w:p>
    <w:p w:rsidR="002B6596" w:rsidRDefault="002B6596" w:rsidP="00AD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2B6596" w:rsidRDefault="00266E4D" w:rsidP="00AD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EFC8B" wp14:editId="25EB4FB1">
                <wp:simplePos x="0" y="0"/>
                <wp:positionH relativeFrom="column">
                  <wp:posOffset>3119755</wp:posOffset>
                </wp:positionH>
                <wp:positionV relativeFrom="paragraph">
                  <wp:posOffset>243205</wp:posOffset>
                </wp:positionV>
                <wp:extent cx="2743200" cy="181165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116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B6596" w:rsidRPr="0038700E" w:rsidRDefault="002B6596" w:rsidP="002B6596">
                            <w:pPr>
                              <w:pStyle w:val="Caption"/>
                              <w:jc w:val="both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: </w:t>
                            </w:r>
                            <w:r w:rsidR="006A257E">
                              <w:t>D</w:t>
                            </w:r>
                            <w:r w:rsidR="00266E4D">
                              <w:t xml:space="preserve">iagram showing the air invasion pattern at breakthrough for </w:t>
                            </w:r>
                            <w:proofErr w:type="gramStart"/>
                            <w:r w:rsidR="00266E4D">
                              <w:t>9</w:t>
                            </w:r>
                            <w:proofErr w:type="gramEnd"/>
                            <w:r w:rsidR="00266E4D">
                              <w:t xml:space="preserve"> experiments in which the air pressure and the viscosity of the defending phase were varied</w:t>
                            </w:r>
                            <w:r w:rsidRPr="002B6596">
                              <w:t xml:space="preserve">. The </w:t>
                            </w:r>
                            <w:proofErr w:type="spellStart"/>
                            <w:r w:rsidRPr="002B6596">
                              <w:t>colormap</w:t>
                            </w:r>
                            <w:proofErr w:type="spellEnd"/>
                            <w:r w:rsidRPr="002B6596">
                              <w:t xml:space="preserve"> indicates the normalized time of invasion going from blue (start of the invasion) to red (breakthrough time).</w:t>
                            </w:r>
                          </w:p>
                          <w:p w:rsidR="000C4097" w:rsidRPr="0038700E" w:rsidRDefault="000C4097" w:rsidP="000C4097">
                            <w:pPr>
                              <w:pStyle w:val="Caption"/>
                              <w:jc w:val="both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EFC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5.65pt;margin-top:19.15pt;width:3in;height:1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" stroked="f">
                <v:textbox inset="0,0,0,0">
                  <w:txbxContent>
                    <w:p w:rsidR="002B6596" w:rsidRPr="0038700E" w:rsidRDefault="002B6596" w:rsidP="002B6596">
                      <w:pPr>
                        <w:pStyle w:val="Caption"/>
                        <w:jc w:val="both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: </w:t>
                      </w:r>
                      <w:r w:rsidR="006A257E">
                        <w:t>D</w:t>
                      </w:r>
                      <w:r w:rsidR="00266E4D">
                        <w:t xml:space="preserve">iagram showing the air invasion pattern at breakthrough for </w:t>
                      </w:r>
                      <w:proofErr w:type="gramStart"/>
                      <w:r w:rsidR="00266E4D">
                        <w:t>9</w:t>
                      </w:r>
                      <w:proofErr w:type="gramEnd"/>
                      <w:r w:rsidR="00266E4D">
                        <w:t xml:space="preserve"> experiments in which the air pressure and the viscosity of the defending phase were varied</w:t>
                      </w:r>
                      <w:r w:rsidRPr="002B6596">
                        <w:t xml:space="preserve">. The </w:t>
                      </w:r>
                      <w:proofErr w:type="spellStart"/>
                      <w:r w:rsidRPr="002B6596">
                        <w:t>colormap</w:t>
                      </w:r>
                      <w:proofErr w:type="spellEnd"/>
                      <w:r w:rsidRPr="002B6596">
                        <w:t xml:space="preserve"> indicates the normalized time of invasion going from blue (start of the invasion) to red (breakthrough time).</w:t>
                      </w:r>
                    </w:p>
                    <w:p w:rsidR="000C4097" w:rsidRPr="0038700E" w:rsidRDefault="000C4097" w:rsidP="000C4097">
                      <w:pPr>
                        <w:pStyle w:val="Caption"/>
                        <w:jc w:val="both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2994025" cy="2455545"/>
            <wp:effectExtent l="0" t="0" r="0" b="1905"/>
            <wp:wrapSquare wrapText="bothSides"/>
            <wp:docPr id="2" name="Picture 2" descr="C:\Users\marce\AppData\Local\Microsoft\Windows\INetCache\Content.Word\multiple_invasion_reduced_white_v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e\AppData\Local\Microsoft\Windows\INetCache\Content.Word\multiple_invasion_reduced_white_v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596" w:rsidRDefault="002B6596" w:rsidP="00AD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0C4097" w:rsidRDefault="000C4097" w:rsidP="0002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0C4097" w:rsidRDefault="000C4097" w:rsidP="0002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0C4097" w:rsidRDefault="000C4097" w:rsidP="0002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0C4097" w:rsidRDefault="000C4097" w:rsidP="0002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0C4097" w:rsidRPr="000C4097" w:rsidRDefault="000C4097" w:rsidP="000C4097">
      <w:pPr>
        <w:rPr>
          <w:rFonts w:ascii="Times New Roman" w:hAnsi="Times New Roman" w:cs="Times New Roman"/>
          <w:b/>
          <w:szCs w:val="24"/>
        </w:rPr>
      </w:pPr>
      <w:r w:rsidRPr="000C4097">
        <w:rPr>
          <w:rFonts w:ascii="Times New Roman" w:hAnsi="Times New Roman" w:cs="Times New Roman"/>
          <w:b/>
          <w:szCs w:val="24"/>
        </w:rPr>
        <w:t>References</w:t>
      </w:r>
    </w:p>
    <w:p w:rsidR="000C4097" w:rsidRDefault="000C4097" w:rsidP="00266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0C4097">
        <w:rPr>
          <w:rFonts w:ascii="Times New Roman" w:hAnsi="Times New Roman" w:cs="Times New Roman"/>
          <w:sz w:val="20"/>
          <w:szCs w:val="24"/>
        </w:rPr>
        <w:t xml:space="preserve">[1] </w:t>
      </w:r>
      <w:r w:rsidR="00266E4D" w:rsidRPr="00266E4D">
        <w:rPr>
          <w:rFonts w:ascii="Times New Roman" w:hAnsi="Times New Roman" w:cs="Times New Roman"/>
          <w:sz w:val="20"/>
          <w:szCs w:val="24"/>
        </w:rPr>
        <w:t xml:space="preserve">F. K. Eriksen, M. Moura, M. Jankov, A. L. Turquet and K. J. Måløy, “Transition from viscous fingers to compact displacement during unstable drainage in porous media,” </w:t>
      </w:r>
      <w:hyperlink r:id="rId6" w:tgtFrame="_blank" w:history="1">
        <w:r w:rsidR="00266E4D" w:rsidRPr="00266E4D">
          <w:rPr>
            <w:rFonts w:ascii="Times New Roman" w:hAnsi="Times New Roman" w:cs="Times New Roman"/>
            <w:i/>
            <w:iCs/>
            <w:sz w:val="20"/>
            <w:szCs w:val="24"/>
          </w:rPr>
          <w:t>Phys. Rev. Fluids</w:t>
        </w:r>
      </w:hyperlink>
      <w:hyperlink r:id="rId7" w:tgtFrame="_blank" w:history="1">
        <w:r w:rsidR="00266E4D" w:rsidRPr="00266E4D">
          <w:rPr>
            <w:rFonts w:ascii="Times New Roman" w:hAnsi="Times New Roman" w:cs="Times New Roman"/>
            <w:sz w:val="20"/>
            <w:szCs w:val="24"/>
          </w:rPr>
          <w:t xml:space="preserve"> </w:t>
        </w:r>
      </w:hyperlink>
      <w:hyperlink r:id="rId8" w:tgtFrame="_blank" w:history="1">
        <w:r w:rsidR="00266E4D" w:rsidRPr="00266E4D">
          <w:rPr>
            <w:rFonts w:ascii="Times New Roman" w:hAnsi="Times New Roman" w:cs="Times New Roman"/>
            <w:b/>
            <w:bCs/>
            <w:sz w:val="20"/>
            <w:szCs w:val="24"/>
          </w:rPr>
          <w:t>7</w:t>
        </w:r>
      </w:hyperlink>
      <w:hyperlink r:id="rId9" w:tgtFrame="_blank" w:history="1">
        <w:r w:rsidR="00266E4D" w:rsidRPr="00266E4D">
          <w:rPr>
            <w:rFonts w:ascii="Times New Roman" w:hAnsi="Times New Roman" w:cs="Times New Roman"/>
            <w:sz w:val="20"/>
            <w:szCs w:val="24"/>
          </w:rPr>
          <w:t xml:space="preserve">, </w:t>
        </w:r>
      </w:hyperlink>
      <w:hyperlink r:id="rId10" w:tgtFrame="_blank" w:history="1">
        <w:r w:rsidR="00266E4D" w:rsidRPr="00266E4D">
          <w:rPr>
            <w:rFonts w:ascii="Times New Roman" w:hAnsi="Times New Roman" w:cs="Times New Roman"/>
            <w:sz w:val="20"/>
            <w:szCs w:val="24"/>
          </w:rPr>
          <w:t>013901</w:t>
        </w:r>
      </w:hyperlink>
      <w:hyperlink r:id="rId11" w:tgtFrame="_blank" w:history="1">
        <w:r w:rsidR="00266E4D" w:rsidRPr="00266E4D">
          <w:rPr>
            <w:rFonts w:ascii="Times New Roman" w:hAnsi="Times New Roman" w:cs="Times New Roman"/>
            <w:sz w:val="20"/>
            <w:szCs w:val="24"/>
          </w:rPr>
          <w:t xml:space="preserve"> (20</w:t>
        </w:r>
      </w:hyperlink>
      <w:hyperlink r:id="rId12" w:tgtFrame="_blank" w:history="1">
        <w:r w:rsidR="00266E4D" w:rsidRPr="00266E4D">
          <w:rPr>
            <w:rFonts w:ascii="Times New Roman" w:hAnsi="Times New Roman" w:cs="Times New Roman"/>
            <w:sz w:val="20"/>
            <w:szCs w:val="24"/>
          </w:rPr>
          <w:t>22</w:t>
        </w:r>
      </w:hyperlink>
      <w:hyperlink r:id="rId13" w:tgtFrame="_blank" w:history="1">
        <w:r w:rsidR="00266E4D" w:rsidRPr="00266E4D">
          <w:rPr>
            <w:rFonts w:ascii="Times New Roman" w:hAnsi="Times New Roman" w:cs="Times New Roman"/>
            <w:sz w:val="20"/>
            <w:szCs w:val="24"/>
          </w:rPr>
          <w:t>)</w:t>
        </w:r>
      </w:hyperlink>
      <w:r w:rsidR="00266E4D" w:rsidRPr="00266E4D">
        <w:rPr>
          <w:rFonts w:ascii="Times New Roman" w:hAnsi="Times New Roman" w:cs="Times New Roman"/>
          <w:sz w:val="20"/>
          <w:szCs w:val="24"/>
        </w:rPr>
        <w:t>.</w:t>
      </w:r>
    </w:p>
    <w:p w:rsidR="00D623E4" w:rsidRDefault="00D623E4" w:rsidP="000C4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623E4" w:rsidRDefault="00D623E4" w:rsidP="000C4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623E4" w:rsidRPr="00495033" w:rsidRDefault="00D623E4" w:rsidP="000C4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*corresponding author: marcel.moura@fys.uio.no</w:t>
      </w:r>
    </w:p>
    <w:sectPr w:rsidR="00D623E4" w:rsidRPr="00495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MzI2NzK1MDG1NDNS0lEKTi0uzszPAykwrgUAS+/CbywAAAA="/>
  </w:docVars>
  <w:rsids>
    <w:rsidRoot w:val="00A54F10"/>
    <w:rsid w:val="0002086C"/>
    <w:rsid w:val="000C4097"/>
    <w:rsid w:val="00266E4D"/>
    <w:rsid w:val="002B6596"/>
    <w:rsid w:val="00315328"/>
    <w:rsid w:val="00495033"/>
    <w:rsid w:val="005475DC"/>
    <w:rsid w:val="006407E2"/>
    <w:rsid w:val="006A257E"/>
    <w:rsid w:val="00A54F10"/>
    <w:rsid w:val="00A92357"/>
    <w:rsid w:val="00AD6257"/>
    <w:rsid w:val="00CE49B1"/>
    <w:rsid w:val="00D623E4"/>
    <w:rsid w:val="00E1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83CE"/>
  <w15:chartTrackingRefBased/>
  <w15:docId w15:val="{D6C9BC5C-FCF7-42B1-AECB-3A5A83CF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C40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66E4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66E4D"/>
    <w:rPr>
      <w:i/>
      <w:iCs/>
    </w:rPr>
  </w:style>
  <w:style w:type="character" w:styleId="Strong">
    <w:name w:val="Strong"/>
    <w:basedOn w:val="DefaultParagraphFont"/>
    <w:uiPriority w:val="22"/>
    <w:qFormat/>
    <w:rsid w:val="00266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journals.aps.org%2Fprfluids%2Fabstract%2F10.1103%2FPhysRevFluids.7.013901&amp;sa=D&amp;sntz=1&amp;usg=AFQjCNGyzMPrJIT10WaXVUAh2Fy82qoZzA" TargetMode="External"/><Relationship Id="rId13" Type="http://schemas.openxmlformats.org/officeDocument/2006/relationships/hyperlink" Target="https://www.google.com/url?q=https%3A%2F%2Fjournals.aps.org%2Fprfluids%2Fabstract%2F10.1103%2FPhysRevFluids.7.013901&amp;sa=D&amp;sntz=1&amp;usg=AFQjCNGyzMPrJIT10WaXVUAh2Fy82qoZ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%3A%2F%2Fjournals.aps.org%2Fprfluids%2Fabstract%2F10.1103%2FPhysRevFluids.7.013901&amp;sa=D&amp;sntz=1&amp;usg=AFQjCNGyzMPrJIT10WaXVUAh2Fy82qoZzA" TargetMode="External"/><Relationship Id="rId12" Type="http://schemas.openxmlformats.org/officeDocument/2006/relationships/hyperlink" Target="https://www.google.com/url?q=https%3A%2F%2Fjournals.aps.org%2Fprfluids%2Fabstract%2F10.1103%2FPhysRevFluids.7.013901&amp;sa=D&amp;sntz=1&amp;usg=AFQjCNGyzMPrJIT10WaXVUAh2Fy82qoZ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%3A%2F%2Fjournals.aps.org%2Fprfluids%2Fabstract%2F10.1103%2FPhysRevFluids.7.013901&amp;sa=D&amp;sntz=1&amp;usg=AFQjCNGyzMPrJIT10WaXVUAh2Fy82qoZzA" TargetMode="External"/><Relationship Id="rId11" Type="http://schemas.openxmlformats.org/officeDocument/2006/relationships/hyperlink" Target="https://www.google.com/url?q=https%3A%2F%2Fjournals.aps.org%2Fprfluids%2Fabstract%2F10.1103%2FPhysRevFluids.7.013901&amp;sa=D&amp;sntz=1&amp;usg=AFQjCNGyzMPrJIT10WaXVUAh2Fy82qoZz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s%3A%2F%2Fjournals.aps.org%2Fprfluids%2Fabstract%2F10.1103%2FPhysRevFluids.7.013901&amp;sa=D&amp;sntz=1&amp;usg=AFQjCNGyzMPrJIT10WaXVUAh2Fy82qoZ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%3A%2F%2Fjournals.aps.org%2Fprfluids%2Fabstract%2F10.1103%2FPhysRevFluids.7.013901&amp;sa=D&amp;sntz=1&amp;usg=AFQjCNGyzMPrJIT10WaXVUAh2Fy82qoZ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CC989-CC58-4BAC-A541-FA77C5E3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Nascimento de Moura</dc:creator>
  <cp:keywords/>
  <dc:description/>
  <cp:lastModifiedBy>Marcel Nascimento de Moura</cp:lastModifiedBy>
  <cp:revision>3</cp:revision>
  <dcterms:created xsi:type="dcterms:W3CDTF">2022-01-16T20:53:00Z</dcterms:created>
  <dcterms:modified xsi:type="dcterms:W3CDTF">2022-01-16T21:33:00Z</dcterms:modified>
</cp:coreProperties>
</file>