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78B54" w14:textId="3BF1A54B" w:rsidR="00D20979" w:rsidRPr="00CF77A9" w:rsidRDefault="00080DDA" w:rsidP="002A1CE1">
      <w:pPr>
        <w:pStyle w:val="Heading1"/>
        <w:spacing w:before="0" w:beforeAutospacing="0" w:after="0" w:afterAutospacing="0"/>
        <w:rPr>
          <w:sz w:val="28"/>
          <w:szCs w:val="28"/>
        </w:rPr>
      </w:pPr>
      <w:r>
        <w:rPr>
          <w:sz w:val="28"/>
          <w:szCs w:val="28"/>
        </w:rPr>
        <w:t>Self-assembly of</w:t>
      </w:r>
      <w:r w:rsidR="00F45F25">
        <w:rPr>
          <w:sz w:val="28"/>
          <w:szCs w:val="28"/>
        </w:rPr>
        <w:t xml:space="preserve"> </w:t>
      </w:r>
      <w:proofErr w:type="spellStart"/>
      <w:r w:rsidR="00F45F25" w:rsidRPr="00F45F25">
        <w:rPr>
          <w:i/>
          <w:sz w:val="28"/>
          <w:szCs w:val="28"/>
        </w:rPr>
        <w:t>Comamonas</w:t>
      </w:r>
      <w:proofErr w:type="spellEnd"/>
      <w:r w:rsidR="00F45F25" w:rsidRPr="00F45F25">
        <w:rPr>
          <w:i/>
          <w:sz w:val="28"/>
          <w:szCs w:val="28"/>
        </w:rPr>
        <w:t xml:space="preserve"> </w:t>
      </w:r>
      <w:proofErr w:type="spellStart"/>
      <w:r w:rsidR="00F45F25" w:rsidRPr="00F45F25">
        <w:rPr>
          <w:i/>
          <w:sz w:val="28"/>
          <w:szCs w:val="28"/>
        </w:rPr>
        <w:t>denitrificans</w:t>
      </w:r>
      <w:proofErr w:type="spellEnd"/>
      <w:r w:rsidR="00F45F25">
        <w:rPr>
          <w:sz w:val="28"/>
          <w:szCs w:val="28"/>
        </w:rPr>
        <w:t>: formation of a</w:t>
      </w:r>
      <w:r w:rsidR="00AD0B5E">
        <w:rPr>
          <w:sz w:val="28"/>
          <w:szCs w:val="28"/>
        </w:rPr>
        <w:t xml:space="preserve"> living</w:t>
      </w:r>
      <w:r w:rsidR="00F45F25">
        <w:rPr>
          <w:sz w:val="28"/>
          <w:szCs w:val="28"/>
        </w:rPr>
        <w:t xml:space="preserve"> bacterial gel</w:t>
      </w:r>
    </w:p>
    <w:p w14:paraId="79F9065B" w14:textId="77777777" w:rsidR="00D20979" w:rsidRPr="00CF77A9" w:rsidRDefault="00D20979" w:rsidP="00D20979">
      <w:pPr>
        <w:pStyle w:val="Authors"/>
        <w:rPr>
          <w:sz w:val="22"/>
          <w:szCs w:val="22"/>
          <w:lang w:val="en-GB"/>
        </w:rPr>
      </w:pPr>
      <w:r w:rsidRPr="00AD0B5E">
        <w:rPr>
          <w:sz w:val="22"/>
          <w:szCs w:val="22"/>
          <w:u w:val="single"/>
          <w:lang w:val="en-GB"/>
        </w:rPr>
        <w:t>Sam Charlton</w:t>
      </w:r>
      <w:r w:rsidR="00D502A6" w:rsidRPr="00AD0B5E">
        <w:rPr>
          <w:sz w:val="22"/>
          <w:szCs w:val="22"/>
          <w:u w:val="single"/>
          <w:vertAlign w:val="superscript"/>
          <w:lang w:val="en-GB"/>
        </w:rPr>
        <w:t>1</w:t>
      </w:r>
      <w:r w:rsidRPr="00CF77A9">
        <w:rPr>
          <w:sz w:val="22"/>
          <w:szCs w:val="22"/>
          <w:lang w:val="en-GB"/>
        </w:rPr>
        <w:t xml:space="preserve">, </w:t>
      </w:r>
      <w:r w:rsidR="00D502A6" w:rsidRPr="008556B7">
        <w:rPr>
          <w:sz w:val="22"/>
          <w:szCs w:val="22"/>
          <w:lang w:val="en-GB"/>
        </w:rPr>
        <w:t>Gavin Melaugh</w:t>
      </w:r>
      <w:r w:rsidRPr="008556B7">
        <w:rPr>
          <w:sz w:val="22"/>
          <w:szCs w:val="22"/>
          <w:vertAlign w:val="superscript"/>
          <w:lang w:val="en-GB"/>
        </w:rPr>
        <w:t>2</w:t>
      </w:r>
      <w:r w:rsidRPr="008556B7">
        <w:rPr>
          <w:sz w:val="22"/>
          <w:szCs w:val="22"/>
          <w:lang w:val="en-GB"/>
        </w:rPr>
        <w:t>,</w:t>
      </w:r>
      <w:r w:rsidRPr="00CF77A9">
        <w:rPr>
          <w:sz w:val="22"/>
          <w:szCs w:val="22"/>
          <w:lang w:val="en-GB"/>
        </w:rPr>
        <w:t xml:space="preserve"> </w:t>
      </w:r>
      <w:proofErr w:type="spellStart"/>
      <w:r>
        <w:rPr>
          <w:sz w:val="22"/>
          <w:szCs w:val="22"/>
          <w:lang w:val="en-GB"/>
        </w:rPr>
        <w:t>Eleonora</w:t>
      </w:r>
      <w:proofErr w:type="spellEnd"/>
      <w:r>
        <w:rPr>
          <w:sz w:val="22"/>
          <w:szCs w:val="22"/>
          <w:lang w:val="en-GB"/>
        </w:rPr>
        <w:t xml:space="preserve"> Secchi</w:t>
      </w:r>
      <w:r w:rsidR="00D502A6">
        <w:rPr>
          <w:sz w:val="22"/>
          <w:szCs w:val="22"/>
          <w:vertAlign w:val="superscript"/>
          <w:lang w:val="en-GB"/>
        </w:rPr>
        <w:t>1</w:t>
      </w:r>
    </w:p>
    <w:p w14:paraId="6175C007" w14:textId="77777777" w:rsidR="00D502A6" w:rsidRPr="00AD0B5E" w:rsidRDefault="00D20979" w:rsidP="00D20979">
      <w:pPr>
        <w:pStyle w:val="Affiliation"/>
        <w:rPr>
          <w:rFonts w:cs="Times New Roman"/>
          <w:sz w:val="22"/>
          <w:szCs w:val="22"/>
          <w:lang w:val="en-GB"/>
        </w:rPr>
      </w:pPr>
      <w:r w:rsidRPr="00AD0B5E">
        <w:rPr>
          <w:rFonts w:cs="Times New Roman"/>
          <w:sz w:val="22"/>
          <w:szCs w:val="22"/>
          <w:vertAlign w:val="superscript"/>
          <w:lang w:val="en-GB"/>
        </w:rPr>
        <w:t>1</w:t>
      </w:r>
      <w:r w:rsidR="00F45F25" w:rsidRPr="00AD0B5E">
        <w:rPr>
          <w:sz w:val="22"/>
          <w:szCs w:val="22"/>
        </w:rPr>
        <w:t xml:space="preserve"> Institute of Environmental Engineering, Department of Civil, Environmental, and </w:t>
      </w:r>
      <w:proofErr w:type="spellStart"/>
      <w:r w:rsidR="00F45F25" w:rsidRPr="00AD0B5E">
        <w:rPr>
          <w:sz w:val="22"/>
          <w:szCs w:val="22"/>
        </w:rPr>
        <w:t>Geomatic</w:t>
      </w:r>
      <w:proofErr w:type="spellEnd"/>
      <w:r w:rsidR="00F45F25" w:rsidRPr="00AD0B5E">
        <w:rPr>
          <w:sz w:val="22"/>
          <w:szCs w:val="22"/>
        </w:rPr>
        <w:t xml:space="preserve"> Engineering, ETH Zürich, 8093 Zürich, Switzerland</w:t>
      </w:r>
      <w:r w:rsidRPr="00AD0B5E">
        <w:rPr>
          <w:rFonts w:cs="Times New Roman"/>
          <w:sz w:val="22"/>
          <w:szCs w:val="22"/>
          <w:lang w:val="en-GB"/>
        </w:rPr>
        <w:t xml:space="preserve">, </w:t>
      </w:r>
    </w:p>
    <w:p w14:paraId="7D54A6D4" w14:textId="77777777" w:rsidR="00D502A6" w:rsidRDefault="00D502A6" w:rsidP="00D20979">
      <w:pPr>
        <w:pStyle w:val="Affiliation"/>
        <w:rPr>
          <w:rFonts w:cs="Times New Roman"/>
          <w:sz w:val="22"/>
          <w:szCs w:val="22"/>
          <w:vertAlign w:val="superscript"/>
        </w:rPr>
      </w:pPr>
      <w:r w:rsidRPr="00AD0B5E">
        <w:rPr>
          <w:rFonts w:cs="Times New Roman"/>
          <w:sz w:val="22"/>
          <w:szCs w:val="22"/>
          <w:vertAlign w:val="superscript"/>
          <w:lang w:val="en-GB"/>
        </w:rPr>
        <w:t xml:space="preserve">2 </w:t>
      </w:r>
      <w:r w:rsidRPr="00AD0B5E">
        <w:rPr>
          <w:sz w:val="22"/>
          <w:szCs w:val="22"/>
        </w:rPr>
        <w:t>SUPA, School of Physics and Ast</w:t>
      </w:r>
      <w:bookmarkStart w:id="0" w:name="_GoBack"/>
      <w:bookmarkEnd w:id="0"/>
      <w:r w:rsidRPr="00AD0B5E">
        <w:rPr>
          <w:sz w:val="22"/>
          <w:szCs w:val="22"/>
        </w:rPr>
        <w:t>ronomy, University of Edinburgh, Edinburgh, UK</w:t>
      </w:r>
    </w:p>
    <w:p w14:paraId="5EE60529" w14:textId="70EAC701" w:rsidR="00D20979" w:rsidRPr="00CF77A9" w:rsidRDefault="00D502A6" w:rsidP="00AD0B5E">
      <w:pPr>
        <w:pStyle w:val="Affiliation"/>
        <w:rPr>
          <w:rFonts w:cs="Times New Roman"/>
          <w:sz w:val="22"/>
          <w:szCs w:val="22"/>
        </w:rPr>
      </w:pPr>
      <w:r>
        <w:rPr>
          <w:rFonts w:cs="Times New Roman"/>
          <w:sz w:val="22"/>
          <w:szCs w:val="22"/>
        </w:rPr>
        <w:t>Corresponding author e-mail:</w:t>
      </w:r>
      <w:r>
        <w:t xml:space="preserve"> </w:t>
      </w:r>
      <w:r w:rsidR="007D72AE" w:rsidRPr="00AD0B5E">
        <w:rPr>
          <w:sz w:val="22"/>
        </w:rPr>
        <w:t>charlton@ifu.baug.ethz.ch</w:t>
      </w:r>
    </w:p>
    <w:p w14:paraId="3960ECBB" w14:textId="6AF73BAA" w:rsidR="00D20979" w:rsidRPr="00BE608A" w:rsidRDefault="00E9491E" w:rsidP="00D502A6">
      <w:pPr>
        <w:pStyle w:val="textbody"/>
        <w:ind w:firstLine="0"/>
        <w:rPr>
          <w:i/>
          <w:sz w:val="24"/>
          <w:szCs w:val="22"/>
        </w:rPr>
      </w:pPr>
      <w:r>
        <w:rPr>
          <w:sz w:val="22"/>
          <w:szCs w:val="22"/>
        </w:rPr>
        <w:t xml:space="preserve">Bacterial </w:t>
      </w:r>
      <w:proofErr w:type="spellStart"/>
      <w:r>
        <w:rPr>
          <w:sz w:val="22"/>
          <w:szCs w:val="22"/>
        </w:rPr>
        <w:t>a</w:t>
      </w:r>
      <w:r w:rsidR="00D20979">
        <w:rPr>
          <w:sz w:val="22"/>
          <w:szCs w:val="22"/>
        </w:rPr>
        <w:t>utoaggregation</w:t>
      </w:r>
      <w:proofErr w:type="spellEnd"/>
      <w:r w:rsidR="00D20979">
        <w:rPr>
          <w:sz w:val="22"/>
          <w:szCs w:val="22"/>
        </w:rPr>
        <w:t xml:space="preserve"> is a phenomena widely </w:t>
      </w:r>
      <w:r w:rsidR="00CE6AEA">
        <w:rPr>
          <w:sz w:val="22"/>
          <w:szCs w:val="22"/>
        </w:rPr>
        <w:t>exhibited by</w:t>
      </w:r>
      <w:r w:rsidR="00D20979">
        <w:rPr>
          <w:sz w:val="22"/>
          <w:szCs w:val="22"/>
        </w:rPr>
        <w:t xml:space="preserve"> environmental and pathogenic bacterial species </w:t>
      </w:r>
      <w:r w:rsidR="00D20979">
        <w:rPr>
          <w:sz w:val="22"/>
          <w:szCs w:val="22"/>
        </w:rPr>
        <w:fldChar w:fldCharType="begin" w:fldLock="1"/>
      </w:r>
      <w:r w:rsidR="00D20979">
        <w:rPr>
          <w:sz w:val="22"/>
          <w:szCs w:val="22"/>
        </w:rPr>
        <w:instrText>ADDIN CSL_CITATION {"citationItems":[{"id":"ITEM-1","itemData":{"DOI":"10.3934/microbiol.2018.1.140","ISSN":"2471-1888","abstract":"Many bacteria, both environmental and pathogenic, exhibit the property of autoaggregation. In autoaggregation (sometimes also called autoagglutination or flocculation), bacteria of the same type form multicellular clumps that eventually settle at the bottom of culture tubes. Autoaggregation is generally mediated by self-recognising surface structures, such as proteins and exopolysaccharides, which we term collectively as autoagglutinins. Although a widespread phenomenon, in most cases the function of autoaggregation is poorly understood, though there is evidence to show that aggregating bacteria are protected from environmental stresses or host responses. Autoaggregation is also often among the first steps in forming biofilms. Here, we review the current knowledge on autoaggregation, the role of autoaggregation in biofilm formation and pathogenesis, and molecular mechanisms leading to aggregation using specific examples.","author":[{"dropping-particle":"","family":"Trunk","given":"Thomas","non-dropping-particle":"","parse-names":false,"suffix":""},{"dropping-particle":"","family":"Khalil","given":"Hawzeen S","non-dropping-particle":"","parse-names":false,"suffix":""},{"dropping-particle":"","family":"Leo","given":"Jack C","non-dropping-particle":"","parse-names":false,"suffix":""}],"container-title":"AIMS microbiology","id":"ITEM-1","issue":"1","issued":{"date-parts":[["2018","3","1"]]},"language":"eng","page":"140-164","publisher":"AIMS Press","title":"Bacterial autoaggregation","type":"article-journal","volume":"4"},"uris":["http://www.mendeley.com/documents/?uuid=b6dc85e9-1729-4ea7-9403-7a4562b797e5"]}],"mendeley":{"formattedCitation":"[1]","plainTextFormattedCitation":"[1]","previouslyFormattedCitation":"[1]"},"properties":{"noteIndex":0},"schema":"https://github.com/citation-style-language/schema/raw/master/csl-citation.json"}</w:instrText>
      </w:r>
      <w:r w:rsidR="00D20979">
        <w:rPr>
          <w:sz w:val="22"/>
          <w:szCs w:val="22"/>
        </w:rPr>
        <w:fldChar w:fldCharType="separate"/>
      </w:r>
      <w:r w:rsidR="00D20979" w:rsidRPr="00281240">
        <w:rPr>
          <w:noProof/>
          <w:sz w:val="22"/>
          <w:szCs w:val="22"/>
        </w:rPr>
        <w:t>[1]</w:t>
      </w:r>
      <w:r w:rsidR="00D20979">
        <w:rPr>
          <w:sz w:val="22"/>
          <w:szCs w:val="22"/>
        </w:rPr>
        <w:fldChar w:fldCharType="end"/>
      </w:r>
      <w:r w:rsidR="00D20979">
        <w:rPr>
          <w:sz w:val="22"/>
          <w:szCs w:val="22"/>
        </w:rPr>
        <w:t xml:space="preserve">. </w:t>
      </w:r>
      <w:proofErr w:type="spellStart"/>
      <w:r w:rsidR="00D20979">
        <w:rPr>
          <w:sz w:val="22"/>
          <w:szCs w:val="22"/>
        </w:rPr>
        <w:t>Autoaggregation</w:t>
      </w:r>
      <w:proofErr w:type="spellEnd"/>
      <w:r w:rsidR="00D20979">
        <w:rPr>
          <w:sz w:val="22"/>
          <w:szCs w:val="22"/>
        </w:rPr>
        <w:t xml:space="preserve"> is mediated through surface bound and secreted proteins and polysaccharides and can act as a precursor to </w:t>
      </w:r>
      <w:r w:rsidR="00CE6AEA">
        <w:rPr>
          <w:sz w:val="22"/>
          <w:szCs w:val="22"/>
        </w:rPr>
        <w:t xml:space="preserve">surface bound </w:t>
      </w:r>
      <w:r w:rsidR="00D20979">
        <w:rPr>
          <w:sz w:val="22"/>
          <w:szCs w:val="22"/>
        </w:rPr>
        <w:t xml:space="preserve">biofilm formation. </w:t>
      </w:r>
      <w:r w:rsidR="00CE6AEA">
        <w:rPr>
          <w:sz w:val="22"/>
          <w:szCs w:val="22"/>
        </w:rPr>
        <w:t>Aggregation is</w:t>
      </w:r>
      <w:r w:rsidR="00D20979">
        <w:rPr>
          <w:sz w:val="22"/>
          <w:szCs w:val="22"/>
        </w:rPr>
        <w:t xml:space="preserve"> considered a survival </w:t>
      </w:r>
      <w:r w:rsidR="002A34FA">
        <w:rPr>
          <w:sz w:val="22"/>
          <w:szCs w:val="22"/>
        </w:rPr>
        <w:t>strategy</w:t>
      </w:r>
      <w:r w:rsidR="00D20979">
        <w:rPr>
          <w:sz w:val="22"/>
          <w:szCs w:val="22"/>
        </w:rPr>
        <w:t xml:space="preserve">, </w:t>
      </w:r>
      <w:r w:rsidR="007D72AE">
        <w:rPr>
          <w:sz w:val="22"/>
          <w:szCs w:val="22"/>
        </w:rPr>
        <w:t xml:space="preserve">commonly </w:t>
      </w:r>
      <w:r w:rsidR="00D20979">
        <w:rPr>
          <w:sz w:val="22"/>
          <w:szCs w:val="22"/>
        </w:rPr>
        <w:t xml:space="preserve">induced by unfavourable growth conditions and low metabolic activity </w:t>
      </w:r>
      <w:r w:rsidR="00D20979">
        <w:rPr>
          <w:sz w:val="22"/>
          <w:szCs w:val="22"/>
        </w:rPr>
        <w:fldChar w:fldCharType="begin" w:fldLock="1"/>
      </w:r>
      <w:r w:rsidR="00D20979">
        <w:rPr>
          <w:sz w:val="22"/>
          <w:szCs w:val="22"/>
        </w:rPr>
        <w:instrText>ADDIN CSL_CITATION {"citationItems":[{"id":"ITEM-1","itemData":{"DOI":"10.1111/j.1462-2920.2009.02012.x","ISSN":"1462-2912","abstract":"Summary Cell aggregation is a stress response and serves as a survival strategy for Pseudomonas aeruginosa strain PAO1 during growth with the toxic detergent Na-dodecylsulfate (SDS). This process involves the psl operon and is linked to c-di-GMP signalling. The induction of cell aggregation in response to SDS was studied. Transposon and site-directed mutagenesis revealed that the cupA-operon and the co-transcribed genes siaA (PA0172) and siaD (PA0169) were essential for SDS-induced aggregation. While siaA encodes a putative membrane protein with a HAMP and a PP2C-like phosphatase domain, siaD encodes a putative diguanylate cyclase involved in the biosynthesis of c-di-GMP. Complementation studies uncovered that the loss of SDS-induced aggregation in the formerly isolated spontaneous mutant strain N was caused by a non-functional siaA allele. DNA-microarray analysis of SDS-grown cells revealed consistent activation of eight genes, including cupA1, with known or presumptive important functions in cell aggregation in the parent strain compared with non-aggregating siaA and siaD mutants. A siaAD-dependent increase of cupA1 mRNA levels in SDS-grown cells was also shown by Northern blots. These results clearly demonstrate that SiaAD are essential for inducing cell aggregation as a specific response to SDS and suggest that they are responsible for perceiving and transducing SDS-related stress.","author":[{"dropping-particle":"","family":"Klebensberger","given":"Janosch","non-dropping-particle":"","parse-names":false,"suffix":""},{"dropping-particle":"","family":"Birkenmaier","given":"Antoinette","non-dropping-particle":"","parse-names":false,"suffix":""},{"dropping-particle":"","family":"Geffers","given":"Robert","non-dropping-particle":"","parse-names":false,"suffix":""},{"dropping-particle":"","family":"Kjelleberg","given":"Staffan","non-dropping-particle":"","parse-names":false,"suffix":""},{"dropping-particle":"","family":"Philipp","given":"Bodo","non-dropping-particle":"","parse-names":false,"suffix":""}],"container-title":"Environmental Microbiology","id":"ITEM-1","issue":"12","issued":{"date-parts":[["2009","12","1"]]},"note":"doi: 10.1111/j.1462-2920.2009.02012.x","page":"3073-3086","publisher":"John Wiley &amp; Sons, Ltd","title":"SiaA and SiaD are essential for inducing autoaggregation as a specific response to detergent stress in Pseudomonas aeruginosa","type":"article-journal","volume":"11"},"uris":["http://www.mendeley.com/documents/?uuid=6951c162-edf3-4199-8194-18e25e86978a"]}],"mendeley":{"formattedCitation":"[2]","plainTextFormattedCitation":"[2]","previouslyFormattedCitation":"[2]"},"properties":{"noteIndex":0},"schema":"https://github.com/citation-style-language/schema/raw/master/csl-citation.json"}</w:instrText>
      </w:r>
      <w:r w:rsidR="00D20979">
        <w:rPr>
          <w:sz w:val="22"/>
          <w:szCs w:val="22"/>
        </w:rPr>
        <w:fldChar w:fldCharType="separate"/>
      </w:r>
      <w:r w:rsidR="00D20979" w:rsidRPr="004852BD">
        <w:rPr>
          <w:noProof/>
          <w:sz w:val="22"/>
          <w:szCs w:val="22"/>
        </w:rPr>
        <w:t>[2]</w:t>
      </w:r>
      <w:r w:rsidR="00D20979">
        <w:rPr>
          <w:sz w:val="22"/>
          <w:szCs w:val="22"/>
        </w:rPr>
        <w:fldChar w:fldCharType="end"/>
      </w:r>
      <w:r w:rsidR="00D20979">
        <w:rPr>
          <w:sz w:val="22"/>
          <w:szCs w:val="22"/>
        </w:rPr>
        <w:t xml:space="preserve">. Polymer bridging and depletion attraction have been demonstrated to trigger </w:t>
      </w:r>
      <w:proofErr w:type="spellStart"/>
      <w:r w:rsidR="00D20979">
        <w:rPr>
          <w:sz w:val="22"/>
          <w:szCs w:val="22"/>
        </w:rPr>
        <w:t>autoaggregation</w:t>
      </w:r>
      <w:proofErr w:type="spellEnd"/>
      <w:r w:rsidR="009834F2">
        <w:rPr>
          <w:sz w:val="22"/>
          <w:szCs w:val="22"/>
        </w:rPr>
        <w:t>, typically</w:t>
      </w:r>
      <w:r w:rsidR="00080DDA">
        <w:rPr>
          <w:sz w:val="22"/>
          <w:szCs w:val="22"/>
        </w:rPr>
        <w:t xml:space="preserve"> form</w:t>
      </w:r>
      <w:r w:rsidR="009834F2">
        <w:rPr>
          <w:sz w:val="22"/>
          <w:szCs w:val="22"/>
        </w:rPr>
        <w:t>ing</w:t>
      </w:r>
      <w:r w:rsidR="00D90516">
        <w:rPr>
          <w:sz w:val="22"/>
          <w:szCs w:val="22"/>
        </w:rPr>
        <w:t xml:space="preserve"> structures of</w:t>
      </w:r>
      <w:r w:rsidR="008C52BD">
        <w:rPr>
          <w:sz w:val="22"/>
          <w:szCs w:val="22"/>
        </w:rPr>
        <w:t xml:space="preserve"> compact disconnected </w:t>
      </w:r>
      <w:r>
        <w:rPr>
          <w:sz w:val="22"/>
          <w:szCs w:val="22"/>
        </w:rPr>
        <w:t>cluster</w:t>
      </w:r>
      <w:r w:rsidR="008C52BD">
        <w:rPr>
          <w:sz w:val="22"/>
          <w:szCs w:val="22"/>
        </w:rPr>
        <w:t xml:space="preserve">s </w:t>
      </w:r>
      <w:r w:rsidR="00D20979">
        <w:rPr>
          <w:sz w:val="22"/>
          <w:szCs w:val="22"/>
        </w:rPr>
        <w:fldChar w:fldCharType="begin" w:fldLock="1"/>
      </w:r>
      <w:r w:rsidR="00D20979">
        <w:rPr>
          <w:sz w:val="22"/>
          <w:szCs w:val="22"/>
        </w:rPr>
        <w:instrText>ADDIN CSL_CITATION {"citationItems":[{"id":"ITEM-1","itemData":{"DOI":"https://doi.org/10.1016/j.colsurfb.2019.110361","ISSN":"0927-7765","abstract":"Curli are amyloid fibrils that polymerize extracellularly from curlin, a protein that is secreted by many enteric bacteria and is important for biofilm formation. Presented here is a systematic study of the effects of curli on bacteria-clay interactions. The aggregation trends of curli-producing and curli-deficient bacteria with clay minerals were followed using gradient-sedimentation experiments, Lumisizer measurements, bright-field and electron microscopy. The results revealed that curli-producing bacteria auto-aggregated into high-density flocs (1.23 g/cm3), ranging in size from 10 to 50 μm, that settle spontaneously. In contrast, curli-deficient bacteria remained relatively stable in solution as individual cells (1–2 μm, 1.18 g/cm3), even at high ionic strength (350 mM). The stability of clay suspensions mixed with curli-deficient bacteria depended on clay type and ionic strength, the general trends being consistent with the classic DLVO theory. However, suspensions of curli-producing bacteria mixed with clays were highly unstable regardless of clay type and solution chemistry, suggesting extensive interactions between the clays and the bacteria-curli aggregates. SEM measurements revealed interesting differences in morphologies of the aggregates; montmorillonite particles coated the bacterial auto-aggregates whereas the kaolinite platelets were embedded within the larger curli-bacteria aggregates. These new observations regarding the densities, aggregation trends, and morphologies of bacteria-curli and bacteria-curli-clay complexes make it clear that production of surface appendages, such as curli, need to be considered when addressing the fate, activity and transport of bacteria - particularly in aquatic environments.","author":[{"dropping-particle":"","family":"Cohen","given":"Nirrit","non-dropping-particle":"","parse-names":false,"suffix":""},{"dropping-particle":"","family":"Zhou","given":"Hao","non-dropping-particle":"","parse-names":false,"suffix":""},{"dropping-particle":"","family":"Hay","given":"Anthony G","non-dropping-particle":"","parse-names":false,"suffix":""},{"dropping-particle":"","family":"Radian","given":"Adi","non-dropping-particle":"","parse-names":false,"suffix":""}],"container-title":"Colloids and Surfaces B: Biointerfaces","id":"ITEM-1","issued":{"date-parts":[["2019"]]},"page":"110361","title":"Curli production enhances clay-E. coli aggregation and sedimentation","type":"article-journal","volume":"182"},"uris":["http://www.mendeley.com/documents/?uuid=5240c392-ea5a-4a83-b3d0-428d60733ebe"]},{"id":"ITEM-2","itemData":{"DOI":"10.1038/ncomms12984","ISSN":"2041-1723","abstract":"Bacteria communicate by producing and sensing extracellular signal molecules called autoinducers. Such intercellular signalling, known as quorum sensing, allows bacteria to coordinate and synchronize behavioural responses at high cell densities. Autoinducer 2 (AI-2) is the only known quorum-sensing molecule produced by Escherichia coli but its physiological role remains elusive, although it is known to regulate biofilm formation and virulence in other bacterial species. Here we show that chemotaxis towards self-produced AI-2 can mediate collective behaviour—autoaggregation—of E. coli. Autoaggregation requires motility and is strongly enhanced by chemotaxis to AI-2 at physiological cell densities. These effects are observed regardless whether cell–cell interactions under particular growth conditions are mediated by the major E. coli adhesin (antigen 43) or by curli fibres. Furthermore, AI-2-dependent autoaggregation enhances bacterial stress resistance and promotes biofilm formation.","author":[{"dropping-particle":"","family":"Laganenka","given":"Leanid","non-dropping-particle":"","parse-names":false,"suffix":""},{"dropping-particle":"","family":"Colin","given":"Remy","non-dropping-particle":"","parse-names":false,"suffix":""},{"dropping-particle":"","family":"Sourjik","given":"Victor","non-dropping-particle":"","parse-names":false,"suffix":""}],"container-title":"Nature Communications","id":"ITEM-2","issue":"1","issued":{"date-parts":[["2016"]]},"page":"12984","title":"Chemotaxis towards autoinducer 2 mediates autoaggregation in Escherichia coli","type":"article-journal","volume":"7"},"uris":["http://www.mendeley.com/documents/?uuid=afe509b6-7d0a-4b2f-b350-7e3465fc3888"]}],"mendeley":{"formattedCitation":"[4], [5]","manualFormatting":"[4, 5]","plainTextFormattedCitation":"[4], [5]","previouslyFormattedCitation":"[3], [4]"},"properties":{"noteIndex":0},"schema":"https://github.com/citation-style-language/schema/raw/master/csl-citation.json"}</w:instrText>
      </w:r>
      <w:r w:rsidR="00D20979">
        <w:rPr>
          <w:sz w:val="22"/>
          <w:szCs w:val="22"/>
        </w:rPr>
        <w:fldChar w:fldCharType="separate"/>
      </w:r>
      <w:r w:rsidR="00D20979">
        <w:rPr>
          <w:noProof/>
          <w:sz w:val="22"/>
          <w:szCs w:val="22"/>
        </w:rPr>
        <w:t>[4, 5</w:t>
      </w:r>
      <w:r w:rsidR="00D20979" w:rsidRPr="00953FF9">
        <w:rPr>
          <w:noProof/>
          <w:sz w:val="22"/>
          <w:szCs w:val="22"/>
        </w:rPr>
        <w:t>]</w:t>
      </w:r>
      <w:r w:rsidR="00D20979">
        <w:rPr>
          <w:sz w:val="22"/>
          <w:szCs w:val="22"/>
        </w:rPr>
        <w:fldChar w:fldCharType="end"/>
      </w:r>
      <w:r w:rsidR="00D20979">
        <w:rPr>
          <w:sz w:val="22"/>
          <w:szCs w:val="22"/>
        </w:rPr>
        <w:t xml:space="preserve">. </w:t>
      </w:r>
    </w:p>
    <w:p w14:paraId="56669EEB" w14:textId="77777777" w:rsidR="00D20979" w:rsidRPr="00BE608A" w:rsidRDefault="00D20979" w:rsidP="00D20979">
      <w:pPr>
        <w:pStyle w:val="textbody"/>
        <w:rPr>
          <w:i/>
          <w:sz w:val="24"/>
          <w:szCs w:val="22"/>
        </w:rPr>
      </w:pPr>
    </w:p>
    <w:p w14:paraId="258A03D9" w14:textId="0358F4BA" w:rsidR="00691ADD" w:rsidRDefault="007D72AE" w:rsidP="00D20979">
      <w:pPr>
        <w:pStyle w:val="textbody"/>
        <w:ind w:firstLine="0"/>
        <w:rPr>
          <w:sz w:val="22"/>
          <w:szCs w:val="22"/>
        </w:rPr>
      </w:pPr>
      <w:r>
        <w:rPr>
          <w:noProof/>
          <w:lang w:val="en-US" w:eastAsia="en-US"/>
        </w:rPr>
        <w:drawing>
          <wp:anchor distT="0" distB="0" distL="0" distR="0" simplePos="0" relativeHeight="251661312" behindDoc="0" locked="0" layoutInCell="1" allowOverlap="1" wp14:anchorId="79FB670E" wp14:editId="31571B32">
            <wp:simplePos x="0" y="0"/>
            <wp:positionH relativeFrom="margin">
              <wp:align>center</wp:align>
            </wp:positionH>
            <wp:positionV relativeFrom="paragraph">
              <wp:posOffset>2310130</wp:posOffset>
            </wp:positionV>
            <wp:extent cx="5391875" cy="174193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391875" cy="1741932"/>
                    </a:xfrm>
                    <a:prstGeom prst="rect">
                      <a:avLst/>
                    </a:prstGeom>
                  </pic:spPr>
                </pic:pic>
              </a:graphicData>
            </a:graphic>
          </wp:anchor>
        </w:drawing>
      </w:r>
      <w:proofErr w:type="spellStart"/>
      <w:r w:rsidR="00695E4D" w:rsidRPr="00BE608A">
        <w:rPr>
          <w:i/>
          <w:sz w:val="22"/>
        </w:rPr>
        <w:t>Comamonas</w:t>
      </w:r>
      <w:proofErr w:type="spellEnd"/>
      <w:r w:rsidR="00695E4D" w:rsidRPr="00BE608A">
        <w:rPr>
          <w:i/>
          <w:sz w:val="22"/>
        </w:rPr>
        <w:t xml:space="preserve"> </w:t>
      </w:r>
      <w:proofErr w:type="spellStart"/>
      <w:r w:rsidR="00695E4D" w:rsidRPr="00BE608A">
        <w:rPr>
          <w:i/>
          <w:sz w:val="22"/>
        </w:rPr>
        <w:t>denitrificans</w:t>
      </w:r>
      <w:proofErr w:type="spellEnd"/>
      <w:r w:rsidR="00695E4D" w:rsidRPr="00BE608A">
        <w:rPr>
          <w:i/>
          <w:sz w:val="22"/>
        </w:rPr>
        <w:t xml:space="preserve"> </w:t>
      </w:r>
      <w:r w:rsidR="00695E4D" w:rsidRPr="00BE608A">
        <w:rPr>
          <w:sz w:val="22"/>
        </w:rPr>
        <w:t>is a rod shaped filamentous bacterium found in abundance in wastewater environments</w:t>
      </w:r>
      <w:r w:rsidR="00695E4D">
        <w:rPr>
          <w:sz w:val="22"/>
        </w:rPr>
        <w:t xml:space="preserve"> which</w:t>
      </w:r>
      <w:r w:rsidR="00695E4D" w:rsidRPr="00BE608A">
        <w:rPr>
          <w:sz w:val="22"/>
        </w:rPr>
        <w:t xml:space="preserve"> displays highly efficient denitrifying capabilities and </w:t>
      </w:r>
      <w:proofErr w:type="spellStart"/>
      <w:r w:rsidR="00695E4D" w:rsidRPr="00BE608A">
        <w:rPr>
          <w:sz w:val="22"/>
        </w:rPr>
        <w:t>exoelectrogenic</w:t>
      </w:r>
      <w:proofErr w:type="spellEnd"/>
      <w:r w:rsidR="00695E4D" w:rsidRPr="00BE608A">
        <w:rPr>
          <w:sz w:val="22"/>
        </w:rPr>
        <w:t xml:space="preserve"> activity in microbial fuel cells [</w:t>
      </w:r>
      <w:r w:rsidR="00695E4D">
        <w:rPr>
          <w:sz w:val="22"/>
        </w:rPr>
        <w:t xml:space="preserve">6, </w:t>
      </w:r>
      <w:r w:rsidR="00695E4D" w:rsidRPr="00BE608A">
        <w:rPr>
          <w:sz w:val="22"/>
        </w:rPr>
        <w:t xml:space="preserve">7, </w:t>
      </w:r>
      <w:proofErr w:type="gramStart"/>
      <w:r w:rsidR="00695E4D" w:rsidRPr="00BE608A">
        <w:rPr>
          <w:sz w:val="22"/>
        </w:rPr>
        <w:t>8</w:t>
      </w:r>
      <w:proofErr w:type="gramEnd"/>
      <w:r w:rsidR="00695E4D" w:rsidRPr="00BE608A">
        <w:rPr>
          <w:sz w:val="22"/>
        </w:rPr>
        <w:t>]</w:t>
      </w:r>
      <w:r w:rsidR="00E709BD">
        <w:rPr>
          <w:sz w:val="22"/>
        </w:rPr>
        <w:t>. Our studies with</w:t>
      </w:r>
      <w:r w:rsidR="00695E4D">
        <w:rPr>
          <w:sz w:val="22"/>
        </w:rPr>
        <w:t xml:space="preserve"> this bac</w:t>
      </w:r>
      <w:r w:rsidR="00E709BD">
        <w:rPr>
          <w:sz w:val="22"/>
        </w:rPr>
        <w:t xml:space="preserve">terium revealed </w:t>
      </w:r>
      <w:proofErr w:type="spellStart"/>
      <w:r w:rsidR="00695E4D">
        <w:rPr>
          <w:sz w:val="22"/>
        </w:rPr>
        <w:t>autoaggregation</w:t>
      </w:r>
      <w:proofErr w:type="spellEnd"/>
      <w:r w:rsidR="00E709BD">
        <w:rPr>
          <w:sz w:val="22"/>
        </w:rPr>
        <w:t xml:space="preserve"> </w:t>
      </w:r>
      <w:r w:rsidR="00D90516">
        <w:rPr>
          <w:sz w:val="22"/>
        </w:rPr>
        <w:t>which displays</w:t>
      </w:r>
      <w:r w:rsidR="00E709BD">
        <w:rPr>
          <w:sz w:val="22"/>
        </w:rPr>
        <w:t xml:space="preserve"> a distinct </w:t>
      </w:r>
      <w:r w:rsidR="00D90516">
        <w:rPr>
          <w:sz w:val="22"/>
        </w:rPr>
        <w:t>gelation</w:t>
      </w:r>
      <w:r w:rsidR="00E709BD">
        <w:rPr>
          <w:sz w:val="22"/>
        </w:rPr>
        <w:t xml:space="preserve"> phase transition</w:t>
      </w:r>
      <w:r w:rsidR="001B2426">
        <w:rPr>
          <w:sz w:val="22"/>
        </w:rPr>
        <w:t xml:space="preserve"> at intermediate volume fractions (</w:t>
      </w:r>
      <m:oMath>
        <m:r>
          <w:rPr>
            <w:rFonts w:ascii="Cambria Math" w:hAnsi="Cambria Math"/>
            <w:sz w:val="22"/>
          </w:rPr>
          <m:t>ϕ&gt;0.008)</m:t>
        </m:r>
      </m:oMath>
      <w:r w:rsidR="00695E4D">
        <w:rPr>
          <w:sz w:val="22"/>
        </w:rPr>
        <w:t xml:space="preserve">. </w:t>
      </w:r>
      <w:r w:rsidR="00292EF8">
        <w:rPr>
          <w:sz w:val="22"/>
          <w:szCs w:val="22"/>
        </w:rPr>
        <w:t xml:space="preserve">In this work we apply multiscale techniques from the soft matter toolbox to investigate the aggregation kinetics of </w:t>
      </w:r>
      <w:proofErr w:type="spellStart"/>
      <w:r w:rsidR="00292EF8" w:rsidRPr="004007D8">
        <w:rPr>
          <w:i/>
          <w:sz w:val="22"/>
          <w:szCs w:val="22"/>
        </w:rPr>
        <w:t>Comamonas</w:t>
      </w:r>
      <w:proofErr w:type="spellEnd"/>
      <w:r w:rsidR="00292EF8" w:rsidRPr="004007D8">
        <w:rPr>
          <w:i/>
          <w:sz w:val="22"/>
          <w:szCs w:val="22"/>
        </w:rPr>
        <w:t xml:space="preserve"> </w:t>
      </w:r>
      <w:proofErr w:type="spellStart"/>
      <w:r w:rsidR="00292EF8" w:rsidRPr="004007D8">
        <w:rPr>
          <w:i/>
          <w:sz w:val="22"/>
          <w:szCs w:val="22"/>
        </w:rPr>
        <w:t>denitrificans</w:t>
      </w:r>
      <w:proofErr w:type="spellEnd"/>
      <w:r w:rsidR="00292EF8">
        <w:rPr>
          <w:i/>
          <w:sz w:val="22"/>
          <w:szCs w:val="22"/>
        </w:rPr>
        <w:t xml:space="preserve">. </w:t>
      </w:r>
      <w:r w:rsidR="007D6A3C">
        <w:rPr>
          <w:sz w:val="22"/>
          <w:szCs w:val="22"/>
        </w:rPr>
        <w:t>For the first time we</w:t>
      </w:r>
      <w:r w:rsidR="00D20979">
        <w:rPr>
          <w:sz w:val="22"/>
          <w:szCs w:val="22"/>
        </w:rPr>
        <w:t xml:space="preserve"> show that bacterial </w:t>
      </w:r>
      <w:proofErr w:type="spellStart"/>
      <w:r w:rsidR="00D20979">
        <w:rPr>
          <w:sz w:val="22"/>
          <w:szCs w:val="22"/>
        </w:rPr>
        <w:t>autoaggregation</w:t>
      </w:r>
      <w:proofErr w:type="spellEnd"/>
      <w:r w:rsidR="00D20979">
        <w:rPr>
          <w:sz w:val="22"/>
          <w:szCs w:val="22"/>
        </w:rPr>
        <w:t xml:space="preserve"> </w:t>
      </w:r>
      <w:r w:rsidR="00B173EE">
        <w:rPr>
          <w:sz w:val="22"/>
          <w:szCs w:val="22"/>
        </w:rPr>
        <w:t xml:space="preserve">can </w:t>
      </w:r>
      <w:r w:rsidR="00D20979">
        <w:rPr>
          <w:sz w:val="22"/>
          <w:szCs w:val="22"/>
        </w:rPr>
        <w:t>lea</w:t>
      </w:r>
      <w:r w:rsidR="00B173EE">
        <w:rPr>
          <w:sz w:val="22"/>
          <w:szCs w:val="22"/>
        </w:rPr>
        <w:t>d</w:t>
      </w:r>
      <w:r w:rsidR="00D20979">
        <w:rPr>
          <w:sz w:val="22"/>
          <w:szCs w:val="22"/>
        </w:rPr>
        <w:t xml:space="preserve"> to </w:t>
      </w:r>
      <w:r w:rsidR="00C920B7">
        <w:rPr>
          <w:sz w:val="22"/>
          <w:szCs w:val="22"/>
        </w:rPr>
        <w:t>self-assembly</w:t>
      </w:r>
      <w:r w:rsidR="00D20979">
        <w:rPr>
          <w:sz w:val="22"/>
          <w:szCs w:val="22"/>
        </w:rPr>
        <w:t xml:space="preserve"> of space</w:t>
      </w:r>
      <w:r w:rsidR="00286C9F">
        <w:rPr>
          <w:sz w:val="22"/>
          <w:szCs w:val="22"/>
        </w:rPr>
        <w:t xml:space="preserve"> spanning fractal networks</w:t>
      </w:r>
      <w:r w:rsidR="00D20979">
        <w:rPr>
          <w:sz w:val="22"/>
          <w:szCs w:val="22"/>
        </w:rPr>
        <w:t xml:space="preserve"> akin to attractive colloidal gels.</w:t>
      </w:r>
      <w:r w:rsidR="007D6A3C">
        <w:rPr>
          <w:sz w:val="22"/>
          <w:szCs w:val="22"/>
        </w:rPr>
        <w:t xml:space="preserve"> </w:t>
      </w:r>
      <w:r w:rsidR="00B173EE">
        <w:rPr>
          <w:sz w:val="22"/>
          <w:szCs w:val="22"/>
        </w:rPr>
        <w:t>By</w:t>
      </w:r>
      <w:r w:rsidR="002E5630">
        <w:rPr>
          <w:sz w:val="22"/>
          <w:szCs w:val="22"/>
        </w:rPr>
        <w:t xml:space="preserve"> </w:t>
      </w:r>
      <w:r w:rsidR="00211599">
        <w:rPr>
          <w:sz w:val="22"/>
          <w:szCs w:val="22"/>
        </w:rPr>
        <w:t xml:space="preserve">altering </w:t>
      </w:r>
      <w:r w:rsidR="007D6A3C">
        <w:rPr>
          <w:sz w:val="22"/>
          <w:szCs w:val="22"/>
        </w:rPr>
        <w:t xml:space="preserve">dissolved oxygen </w:t>
      </w:r>
      <w:r w:rsidR="00211599">
        <w:rPr>
          <w:sz w:val="22"/>
          <w:szCs w:val="22"/>
        </w:rPr>
        <w:t xml:space="preserve">conditions </w:t>
      </w:r>
      <w:r w:rsidR="002E5630">
        <w:rPr>
          <w:sz w:val="22"/>
          <w:szCs w:val="22"/>
        </w:rPr>
        <w:t>during cell culture</w:t>
      </w:r>
      <w:r w:rsidR="00F944E0">
        <w:rPr>
          <w:sz w:val="22"/>
          <w:szCs w:val="22"/>
        </w:rPr>
        <w:t>,</w:t>
      </w:r>
      <w:r w:rsidR="007D6A3C">
        <w:rPr>
          <w:sz w:val="22"/>
          <w:szCs w:val="22"/>
        </w:rPr>
        <w:t xml:space="preserve"> we </w:t>
      </w:r>
      <w:r w:rsidR="002E5630">
        <w:rPr>
          <w:sz w:val="22"/>
          <w:szCs w:val="22"/>
        </w:rPr>
        <w:t>are able to reliably tune</w:t>
      </w:r>
      <w:r w:rsidR="007D6A3C">
        <w:rPr>
          <w:sz w:val="22"/>
          <w:szCs w:val="22"/>
        </w:rPr>
        <w:t xml:space="preserve"> cell </w:t>
      </w:r>
      <w:r w:rsidR="002E5630">
        <w:rPr>
          <w:sz w:val="22"/>
          <w:szCs w:val="22"/>
        </w:rPr>
        <w:t xml:space="preserve">aspect ratio </w:t>
      </w:r>
      <w:r w:rsidR="007D6A3C">
        <w:rPr>
          <w:sz w:val="22"/>
          <w:szCs w:val="22"/>
        </w:rPr>
        <w:t>distributio</w:t>
      </w:r>
      <w:r w:rsidR="00E9491E">
        <w:rPr>
          <w:sz w:val="22"/>
          <w:szCs w:val="22"/>
        </w:rPr>
        <w:t>n and gel porosity</w:t>
      </w:r>
      <w:r w:rsidR="00211599">
        <w:rPr>
          <w:sz w:val="22"/>
          <w:szCs w:val="22"/>
        </w:rPr>
        <w:t xml:space="preserve"> creating a controllable living colloidal system</w:t>
      </w:r>
      <w:r w:rsidR="007E36FF">
        <w:rPr>
          <w:sz w:val="22"/>
          <w:szCs w:val="22"/>
        </w:rPr>
        <w:t xml:space="preserve">. Using </w:t>
      </w:r>
      <w:r w:rsidR="00F45F25">
        <w:rPr>
          <w:sz w:val="22"/>
          <w:szCs w:val="22"/>
        </w:rPr>
        <w:t xml:space="preserve">optical </w:t>
      </w:r>
      <w:r w:rsidR="007E36FF">
        <w:rPr>
          <w:sz w:val="22"/>
          <w:szCs w:val="22"/>
        </w:rPr>
        <w:t>microscopy</w:t>
      </w:r>
      <w:r w:rsidR="00693A16">
        <w:rPr>
          <w:sz w:val="22"/>
          <w:szCs w:val="22"/>
        </w:rPr>
        <w:t>,</w:t>
      </w:r>
      <w:r w:rsidR="007E36FF">
        <w:rPr>
          <w:sz w:val="22"/>
          <w:szCs w:val="22"/>
        </w:rPr>
        <w:t xml:space="preserve"> we </w:t>
      </w:r>
      <w:r w:rsidR="007D6A3C">
        <w:rPr>
          <w:sz w:val="22"/>
          <w:szCs w:val="22"/>
        </w:rPr>
        <w:t xml:space="preserve">study the aggregation dynamics </w:t>
      </w:r>
      <w:r w:rsidR="00F45F25">
        <w:rPr>
          <w:sz w:val="22"/>
          <w:szCs w:val="22"/>
        </w:rPr>
        <w:t>of</w:t>
      </w:r>
      <w:r w:rsidR="007D6A3C">
        <w:rPr>
          <w:sz w:val="22"/>
          <w:szCs w:val="22"/>
        </w:rPr>
        <w:t xml:space="preserve"> low and high aspect ratio</w:t>
      </w:r>
      <w:r w:rsidR="00F45F25">
        <w:rPr>
          <w:sz w:val="22"/>
          <w:szCs w:val="22"/>
        </w:rPr>
        <w:t xml:space="preserve"> distributions</w:t>
      </w:r>
      <w:r w:rsidR="002E5630">
        <w:rPr>
          <w:sz w:val="22"/>
          <w:szCs w:val="22"/>
        </w:rPr>
        <w:t>,</w:t>
      </w:r>
      <w:r w:rsidR="007D6A3C">
        <w:rPr>
          <w:sz w:val="22"/>
          <w:szCs w:val="22"/>
        </w:rPr>
        <w:t xml:space="preserve"> in the presence and absence of </w:t>
      </w:r>
      <w:r w:rsidR="00F45F25">
        <w:rPr>
          <w:sz w:val="22"/>
          <w:szCs w:val="22"/>
        </w:rPr>
        <w:t xml:space="preserve">bacterial </w:t>
      </w:r>
      <w:r w:rsidR="007D6A3C">
        <w:rPr>
          <w:sz w:val="22"/>
          <w:szCs w:val="22"/>
        </w:rPr>
        <w:t>growth</w:t>
      </w:r>
      <w:r w:rsidR="002E5630">
        <w:rPr>
          <w:sz w:val="22"/>
          <w:szCs w:val="22"/>
        </w:rPr>
        <w:t xml:space="preserve"> and in density matched</w:t>
      </w:r>
      <w:r w:rsidR="00211599">
        <w:rPr>
          <w:sz w:val="22"/>
          <w:szCs w:val="22"/>
        </w:rPr>
        <w:t xml:space="preserve"> and mismatched</w:t>
      </w:r>
      <w:r w:rsidR="002E5630">
        <w:rPr>
          <w:sz w:val="22"/>
          <w:szCs w:val="22"/>
        </w:rPr>
        <w:t xml:space="preserve"> conditions</w:t>
      </w:r>
      <w:r w:rsidR="00F45F25">
        <w:rPr>
          <w:sz w:val="22"/>
          <w:szCs w:val="22"/>
        </w:rPr>
        <w:t>. We compare the bacterial gel dynamics against Brownian dynamics simulations to further access the impact of aspect ratio distributio</w:t>
      </w:r>
      <w:r w:rsidR="00CE6AEA">
        <w:rPr>
          <w:sz w:val="22"/>
          <w:szCs w:val="22"/>
        </w:rPr>
        <w:t>n on the bacterial gel connectivity and porosity</w:t>
      </w:r>
      <w:r w:rsidR="000814D0">
        <w:rPr>
          <w:sz w:val="22"/>
          <w:szCs w:val="22"/>
        </w:rPr>
        <w:t xml:space="preserve">, and consider the impact of uniform or polar bonding locations. </w:t>
      </w:r>
      <w:r w:rsidR="00D502A6">
        <w:rPr>
          <w:sz w:val="22"/>
          <w:szCs w:val="22"/>
        </w:rPr>
        <w:t>This work is a first look into</w:t>
      </w:r>
      <w:r w:rsidR="00AD0B5E">
        <w:rPr>
          <w:sz w:val="22"/>
          <w:szCs w:val="22"/>
        </w:rPr>
        <w:t xml:space="preserve"> self-assembled</w:t>
      </w:r>
      <w:r w:rsidR="00D502A6">
        <w:rPr>
          <w:sz w:val="22"/>
          <w:szCs w:val="22"/>
        </w:rPr>
        <w:t xml:space="preserve"> bacterial ‘living gels’.     </w:t>
      </w:r>
    </w:p>
    <w:p w14:paraId="6426E8AA" w14:textId="24C53F3A" w:rsidR="00691ADD" w:rsidRPr="00AD0B5E" w:rsidRDefault="00691ADD" w:rsidP="00BE6D6F">
      <w:pPr>
        <w:spacing w:before="145" w:line="276" w:lineRule="auto"/>
        <w:ind w:left="270" w:right="532"/>
        <w:rPr>
          <w:rFonts w:ascii="Times New Roman" w:hAnsi="Times New Roman" w:cs="Times New Roman"/>
        </w:rPr>
      </w:pPr>
      <w:r w:rsidRPr="00AD0B5E">
        <w:rPr>
          <w:rFonts w:ascii="Times New Roman" w:hAnsi="Times New Roman" w:cs="Times New Roman"/>
          <w:b/>
        </w:rPr>
        <w:t xml:space="preserve">Figure 1 </w:t>
      </w:r>
      <w:proofErr w:type="spellStart"/>
      <w:r w:rsidRPr="00AD0B5E">
        <w:rPr>
          <w:rFonts w:ascii="Times New Roman" w:hAnsi="Times New Roman" w:cs="Times New Roman"/>
          <w:b/>
          <w:i/>
        </w:rPr>
        <w:t>Comamonas</w:t>
      </w:r>
      <w:proofErr w:type="spellEnd"/>
      <w:r w:rsidRPr="00AD0B5E">
        <w:rPr>
          <w:rFonts w:ascii="Times New Roman" w:hAnsi="Times New Roman" w:cs="Times New Roman"/>
          <w:b/>
          <w:i/>
        </w:rPr>
        <w:t xml:space="preserve"> </w:t>
      </w:r>
      <w:proofErr w:type="spellStart"/>
      <w:r w:rsidRPr="00AD0B5E">
        <w:rPr>
          <w:rFonts w:ascii="Times New Roman" w:hAnsi="Times New Roman" w:cs="Times New Roman"/>
          <w:b/>
          <w:i/>
        </w:rPr>
        <w:t>denitrificans</w:t>
      </w:r>
      <w:proofErr w:type="spellEnd"/>
      <w:r w:rsidRPr="00AD0B5E">
        <w:rPr>
          <w:rFonts w:ascii="Times New Roman" w:hAnsi="Times New Roman" w:cs="Times New Roman"/>
          <w:b/>
          <w:i/>
        </w:rPr>
        <w:t xml:space="preserve"> </w:t>
      </w:r>
      <w:proofErr w:type="spellStart"/>
      <w:r w:rsidRPr="00AD0B5E">
        <w:rPr>
          <w:rFonts w:ascii="Times New Roman" w:hAnsi="Times New Roman" w:cs="Times New Roman"/>
          <w:b/>
        </w:rPr>
        <w:t>autoaggregates</w:t>
      </w:r>
      <w:proofErr w:type="spellEnd"/>
      <w:r w:rsidRPr="00AD0B5E">
        <w:rPr>
          <w:rFonts w:ascii="Times New Roman" w:hAnsi="Times New Roman" w:cs="Times New Roman"/>
          <w:b/>
        </w:rPr>
        <w:t xml:space="preserve"> into space spanning gel networks. </w:t>
      </w:r>
      <w:r w:rsidRPr="00AD0B5E">
        <w:rPr>
          <w:rFonts w:ascii="Times New Roman" w:hAnsi="Times New Roman" w:cs="Times New Roman"/>
        </w:rPr>
        <w:t xml:space="preserve">Confocal microscopy slice of a time lapse of the formation of a bacterial fractal gel structure. Initially small clusters nucleate and branch with time to form a stress bearing 3D network. The </w:t>
      </w:r>
      <w:proofErr w:type="spellStart"/>
      <w:r w:rsidRPr="00AD0B5E">
        <w:rPr>
          <w:rFonts w:ascii="Times New Roman" w:hAnsi="Times New Roman" w:cs="Times New Roman"/>
        </w:rPr>
        <w:t>timelapse</w:t>
      </w:r>
      <w:proofErr w:type="spellEnd"/>
      <w:r w:rsidRPr="00AD0B5E">
        <w:rPr>
          <w:rFonts w:ascii="Times New Roman" w:hAnsi="Times New Roman" w:cs="Times New Roman"/>
        </w:rPr>
        <w:t xml:space="preserve"> was </w:t>
      </w:r>
      <w:r w:rsidRPr="00AD0B5E">
        <w:rPr>
          <w:rFonts w:ascii="Times New Roman" w:hAnsi="Times New Roman" w:cs="Times New Roman"/>
          <w:position w:val="2"/>
        </w:rPr>
        <w:t>imaged 30µm above the coverslip using an overnight culture at an OD</w:t>
      </w:r>
      <w:r w:rsidRPr="00AD0B5E">
        <w:rPr>
          <w:rFonts w:ascii="Times New Roman" w:hAnsi="Times New Roman" w:cs="Times New Roman"/>
        </w:rPr>
        <w:t xml:space="preserve">600 </w:t>
      </w:r>
      <w:r w:rsidRPr="00AD0B5E">
        <w:rPr>
          <w:rFonts w:ascii="Times New Roman" w:hAnsi="Times New Roman" w:cs="Times New Roman"/>
          <w:position w:val="2"/>
        </w:rPr>
        <w:t>= 1.5</w:t>
      </w:r>
      <w:r w:rsidR="007D72AE" w:rsidRPr="00AD0B5E">
        <w:rPr>
          <w:rFonts w:ascii="Times New Roman" w:hAnsi="Times New Roman" w:cs="Times New Roman"/>
          <w:position w:val="2"/>
        </w:rPr>
        <w:t xml:space="preserve"> at 40x magnification,</w:t>
      </w:r>
      <w:r w:rsidRPr="00AD0B5E">
        <w:rPr>
          <w:rFonts w:ascii="Times New Roman" w:hAnsi="Times New Roman" w:cs="Times New Roman"/>
          <w:position w:val="2"/>
        </w:rPr>
        <w:t xml:space="preserve"> cells were labelled </w:t>
      </w:r>
      <w:r w:rsidR="00AD0B5E" w:rsidRPr="00AD0B5E">
        <w:rPr>
          <w:rFonts w:ascii="Times New Roman" w:hAnsi="Times New Roman" w:cs="Times New Roman"/>
        </w:rPr>
        <w:t xml:space="preserve">with </w:t>
      </w:r>
      <w:proofErr w:type="spellStart"/>
      <w:r w:rsidR="00AD0B5E" w:rsidRPr="00AD0B5E">
        <w:rPr>
          <w:rFonts w:ascii="Times New Roman" w:hAnsi="Times New Roman" w:cs="Times New Roman"/>
        </w:rPr>
        <w:t>s</w:t>
      </w:r>
      <w:r w:rsidRPr="00AD0B5E">
        <w:rPr>
          <w:rFonts w:ascii="Times New Roman" w:hAnsi="Times New Roman" w:cs="Times New Roman"/>
        </w:rPr>
        <w:t>yto</w:t>
      </w:r>
      <w:proofErr w:type="spellEnd"/>
      <w:r w:rsidR="00AD0B5E" w:rsidRPr="00AD0B5E">
        <w:rPr>
          <w:rFonts w:ascii="Times New Roman" w:hAnsi="Times New Roman" w:cs="Times New Roman"/>
        </w:rPr>
        <w:t xml:space="preserve"> </w:t>
      </w:r>
      <w:r w:rsidRPr="00AD0B5E">
        <w:rPr>
          <w:rFonts w:ascii="Times New Roman" w:hAnsi="Times New Roman" w:cs="Times New Roman"/>
        </w:rPr>
        <w:t>63.</w:t>
      </w:r>
    </w:p>
    <w:p w14:paraId="66981EFB" w14:textId="022AA078" w:rsidR="00D502A6" w:rsidRPr="004852BD" w:rsidRDefault="00D502A6" w:rsidP="00D502A6">
      <w:pPr>
        <w:widowControl w:val="0"/>
        <w:autoSpaceDE w:val="0"/>
        <w:autoSpaceDN w:val="0"/>
        <w:adjustRightInd w:val="0"/>
        <w:spacing w:line="240" w:lineRule="auto"/>
        <w:ind w:left="640" w:hanging="640"/>
        <w:rPr>
          <w:rFonts w:ascii="Times New Roman" w:hAnsi="Times New Roman"/>
          <w:noProof/>
          <w:szCs w:val="24"/>
        </w:rPr>
      </w:pPr>
      <w:r w:rsidRPr="004852BD">
        <w:rPr>
          <w:rFonts w:ascii="Times New Roman" w:hAnsi="Times New Roman"/>
          <w:noProof/>
          <w:szCs w:val="24"/>
        </w:rPr>
        <w:t>[1]</w:t>
      </w:r>
      <w:r w:rsidRPr="004852BD">
        <w:rPr>
          <w:rFonts w:ascii="Times New Roman" w:hAnsi="Times New Roman"/>
          <w:noProof/>
          <w:szCs w:val="24"/>
        </w:rPr>
        <w:tab/>
        <w:t xml:space="preserve">T. Trunk, H. S. Khalil, and J. C. Leo, </w:t>
      </w:r>
      <w:r w:rsidRPr="004852BD">
        <w:rPr>
          <w:rFonts w:ascii="Times New Roman" w:hAnsi="Times New Roman"/>
          <w:i/>
          <w:iCs/>
          <w:noProof/>
          <w:szCs w:val="24"/>
        </w:rPr>
        <w:t>AIMS Microbiol.</w:t>
      </w:r>
      <w:r w:rsidRPr="004852BD">
        <w:rPr>
          <w:rFonts w:ascii="Times New Roman" w:hAnsi="Times New Roman"/>
          <w:noProof/>
          <w:szCs w:val="24"/>
        </w:rPr>
        <w:t>, vol. 4, no. 1, pp. 140–164, 2018.</w:t>
      </w:r>
    </w:p>
    <w:p w14:paraId="74E97AD7" w14:textId="0CAD2F67" w:rsidR="00D502A6" w:rsidRPr="004852BD" w:rsidRDefault="00D502A6" w:rsidP="00D502A6">
      <w:pPr>
        <w:widowControl w:val="0"/>
        <w:autoSpaceDE w:val="0"/>
        <w:autoSpaceDN w:val="0"/>
        <w:adjustRightInd w:val="0"/>
        <w:spacing w:line="240" w:lineRule="auto"/>
        <w:ind w:left="640" w:hanging="640"/>
        <w:rPr>
          <w:rFonts w:ascii="Times New Roman" w:hAnsi="Times New Roman"/>
          <w:noProof/>
          <w:szCs w:val="24"/>
        </w:rPr>
      </w:pPr>
      <w:r w:rsidRPr="004852BD">
        <w:rPr>
          <w:rFonts w:ascii="Times New Roman" w:hAnsi="Times New Roman"/>
          <w:noProof/>
          <w:szCs w:val="24"/>
        </w:rPr>
        <w:lastRenderedPageBreak/>
        <w:t>[2]</w:t>
      </w:r>
      <w:r w:rsidRPr="004852BD">
        <w:rPr>
          <w:rFonts w:ascii="Times New Roman" w:hAnsi="Times New Roman"/>
          <w:noProof/>
          <w:szCs w:val="24"/>
        </w:rPr>
        <w:tab/>
        <w:t xml:space="preserve">J. Klebensberger, A. Birkenmaier, R. Geffers, S. Kjelleberg, and B. Philipp, </w:t>
      </w:r>
      <w:r w:rsidRPr="004852BD">
        <w:rPr>
          <w:rFonts w:ascii="Times New Roman" w:hAnsi="Times New Roman"/>
          <w:i/>
          <w:iCs/>
          <w:noProof/>
          <w:szCs w:val="24"/>
        </w:rPr>
        <w:t>Environ. Microbiol.</w:t>
      </w:r>
      <w:r w:rsidRPr="004852BD">
        <w:rPr>
          <w:rFonts w:ascii="Times New Roman" w:hAnsi="Times New Roman"/>
          <w:noProof/>
          <w:szCs w:val="24"/>
        </w:rPr>
        <w:t>, vol. 11, no. 12, pp. 3073–3086, 2009.</w:t>
      </w:r>
    </w:p>
    <w:p w14:paraId="3C1A8D61" w14:textId="00433956" w:rsidR="00D502A6" w:rsidRPr="004852BD" w:rsidRDefault="00D502A6" w:rsidP="00D502A6">
      <w:pPr>
        <w:widowControl w:val="0"/>
        <w:autoSpaceDE w:val="0"/>
        <w:autoSpaceDN w:val="0"/>
        <w:adjustRightInd w:val="0"/>
        <w:spacing w:line="240" w:lineRule="auto"/>
        <w:ind w:left="640" w:hanging="640"/>
        <w:rPr>
          <w:rFonts w:ascii="Times New Roman" w:hAnsi="Times New Roman"/>
          <w:noProof/>
          <w:szCs w:val="24"/>
        </w:rPr>
      </w:pPr>
      <w:r w:rsidRPr="004852BD">
        <w:rPr>
          <w:rFonts w:ascii="Times New Roman" w:hAnsi="Times New Roman"/>
          <w:noProof/>
          <w:szCs w:val="24"/>
        </w:rPr>
        <w:t>[3]</w:t>
      </w:r>
      <w:r w:rsidRPr="004852BD">
        <w:rPr>
          <w:rFonts w:ascii="Times New Roman" w:hAnsi="Times New Roman"/>
          <w:noProof/>
          <w:szCs w:val="24"/>
        </w:rPr>
        <w:tab/>
        <w:t xml:space="preserve">G. Dorken, G. P. Ferguson, C. E. French, and W. C. K. Poon, </w:t>
      </w:r>
      <w:r w:rsidRPr="004852BD">
        <w:rPr>
          <w:rFonts w:ascii="Times New Roman" w:hAnsi="Times New Roman"/>
          <w:i/>
          <w:iCs/>
          <w:noProof/>
          <w:szCs w:val="24"/>
        </w:rPr>
        <w:t>J. R. Soc. Interface</w:t>
      </w:r>
      <w:r w:rsidRPr="004852BD">
        <w:rPr>
          <w:rFonts w:ascii="Times New Roman" w:hAnsi="Times New Roman"/>
          <w:noProof/>
          <w:szCs w:val="24"/>
        </w:rPr>
        <w:t>, vol. 9, no. 77, pp. 3490–3502, 2012.</w:t>
      </w:r>
    </w:p>
    <w:p w14:paraId="61AEA511" w14:textId="1B8C2F6B" w:rsidR="00D502A6" w:rsidRPr="004852BD" w:rsidRDefault="00D502A6" w:rsidP="00D502A6">
      <w:pPr>
        <w:widowControl w:val="0"/>
        <w:autoSpaceDE w:val="0"/>
        <w:autoSpaceDN w:val="0"/>
        <w:adjustRightInd w:val="0"/>
        <w:spacing w:line="240" w:lineRule="auto"/>
        <w:ind w:left="640" w:hanging="640"/>
        <w:rPr>
          <w:rFonts w:ascii="Times New Roman" w:hAnsi="Times New Roman"/>
          <w:noProof/>
          <w:szCs w:val="24"/>
        </w:rPr>
      </w:pPr>
      <w:r w:rsidRPr="004852BD">
        <w:rPr>
          <w:rFonts w:ascii="Times New Roman" w:hAnsi="Times New Roman"/>
          <w:noProof/>
          <w:szCs w:val="24"/>
        </w:rPr>
        <w:t>[4]</w:t>
      </w:r>
      <w:r w:rsidRPr="004852BD">
        <w:rPr>
          <w:rFonts w:ascii="Times New Roman" w:hAnsi="Times New Roman"/>
          <w:noProof/>
          <w:szCs w:val="24"/>
        </w:rPr>
        <w:tab/>
        <w:t xml:space="preserve">N. Cohen, H. Zhou, A. G. Hay, and A. Radian, </w:t>
      </w:r>
      <w:r w:rsidRPr="004852BD">
        <w:rPr>
          <w:rFonts w:ascii="Times New Roman" w:hAnsi="Times New Roman"/>
          <w:i/>
          <w:iCs/>
          <w:noProof/>
          <w:szCs w:val="24"/>
        </w:rPr>
        <w:t>Colloids Surfaces B Biointerfaces</w:t>
      </w:r>
      <w:r w:rsidRPr="004852BD">
        <w:rPr>
          <w:rFonts w:ascii="Times New Roman" w:hAnsi="Times New Roman"/>
          <w:noProof/>
          <w:szCs w:val="24"/>
        </w:rPr>
        <w:t>, vol. 182, p. 110361, 2019.</w:t>
      </w:r>
    </w:p>
    <w:p w14:paraId="03FF6D6C" w14:textId="6C03D8C9" w:rsidR="00D502A6" w:rsidRPr="004852BD" w:rsidRDefault="00D502A6" w:rsidP="00D502A6">
      <w:pPr>
        <w:widowControl w:val="0"/>
        <w:autoSpaceDE w:val="0"/>
        <w:autoSpaceDN w:val="0"/>
        <w:adjustRightInd w:val="0"/>
        <w:spacing w:line="240" w:lineRule="auto"/>
        <w:ind w:left="640" w:hanging="640"/>
        <w:rPr>
          <w:rFonts w:ascii="Times New Roman" w:hAnsi="Times New Roman"/>
          <w:noProof/>
          <w:szCs w:val="24"/>
        </w:rPr>
      </w:pPr>
      <w:r w:rsidRPr="004852BD">
        <w:rPr>
          <w:rFonts w:ascii="Times New Roman" w:hAnsi="Times New Roman"/>
          <w:noProof/>
          <w:szCs w:val="24"/>
        </w:rPr>
        <w:t>[5]</w:t>
      </w:r>
      <w:r w:rsidRPr="004852BD">
        <w:rPr>
          <w:rFonts w:ascii="Times New Roman" w:hAnsi="Times New Roman"/>
          <w:noProof/>
          <w:szCs w:val="24"/>
        </w:rPr>
        <w:tab/>
        <w:t xml:space="preserve">L. Laganenka, R. Colin, and V. Sourjik, </w:t>
      </w:r>
      <w:r w:rsidRPr="004852BD">
        <w:rPr>
          <w:rFonts w:ascii="Times New Roman" w:hAnsi="Times New Roman"/>
          <w:i/>
          <w:iCs/>
          <w:noProof/>
          <w:szCs w:val="24"/>
        </w:rPr>
        <w:t>Nat. Commun.</w:t>
      </w:r>
      <w:r w:rsidRPr="004852BD">
        <w:rPr>
          <w:rFonts w:ascii="Times New Roman" w:hAnsi="Times New Roman"/>
          <w:noProof/>
          <w:szCs w:val="24"/>
        </w:rPr>
        <w:t>, vol. 7, no. 1, p. 12984, 2016.</w:t>
      </w:r>
    </w:p>
    <w:p w14:paraId="79157F74" w14:textId="2BF62CFA" w:rsidR="00D502A6" w:rsidRPr="004852BD" w:rsidRDefault="00D502A6" w:rsidP="00D502A6">
      <w:pPr>
        <w:widowControl w:val="0"/>
        <w:autoSpaceDE w:val="0"/>
        <w:autoSpaceDN w:val="0"/>
        <w:adjustRightInd w:val="0"/>
        <w:spacing w:line="240" w:lineRule="auto"/>
        <w:ind w:left="640" w:hanging="640"/>
        <w:rPr>
          <w:rFonts w:ascii="Times New Roman" w:hAnsi="Times New Roman"/>
          <w:noProof/>
          <w:szCs w:val="24"/>
        </w:rPr>
      </w:pPr>
      <w:r w:rsidRPr="004852BD">
        <w:rPr>
          <w:rFonts w:ascii="Times New Roman" w:hAnsi="Times New Roman"/>
          <w:noProof/>
          <w:szCs w:val="24"/>
        </w:rPr>
        <w:t>[6]</w:t>
      </w:r>
      <w:r w:rsidRPr="004852BD">
        <w:rPr>
          <w:rFonts w:ascii="Times New Roman" w:hAnsi="Times New Roman"/>
          <w:noProof/>
          <w:szCs w:val="24"/>
        </w:rPr>
        <w:tab/>
        <w:t xml:space="preserve">S. Andersson, G. Kuttuva Rajarao, C. J. Land, and G. Dalhammar, </w:t>
      </w:r>
      <w:r w:rsidRPr="004852BD">
        <w:rPr>
          <w:rFonts w:ascii="Times New Roman" w:hAnsi="Times New Roman"/>
          <w:i/>
          <w:iCs/>
          <w:noProof/>
          <w:szCs w:val="24"/>
        </w:rPr>
        <w:t>FEMS Microbiol. Lett.</w:t>
      </w:r>
      <w:r w:rsidRPr="004852BD">
        <w:rPr>
          <w:rFonts w:ascii="Times New Roman" w:hAnsi="Times New Roman"/>
          <w:noProof/>
          <w:szCs w:val="24"/>
        </w:rPr>
        <w:t>, vol. 283, no. 1, pp. 83–90, 2008.</w:t>
      </w:r>
    </w:p>
    <w:p w14:paraId="48C78053" w14:textId="1E2849E4" w:rsidR="00D502A6" w:rsidRPr="004852BD" w:rsidRDefault="00D502A6" w:rsidP="00D502A6">
      <w:pPr>
        <w:widowControl w:val="0"/>
        <w:autoSpaceDE w:val="0"/>
        <w:autoSpaceDN w:val="0"/>
        <w:adjustRightInd w:val="0"/>
        <w:spacing w:line="240" w:lineRule="auto"/>
        <w:ind w:left="640" w:hanging="640"/>
        <w:rPr>
          <w:rFonts w:ascii="Times New Roman" w:hAnsi="Times New Roman"/>
          <w:noProof/>
          <w:szCs w:val="24"/>
        </w:rPr>
      </w:pPr>
      <w:r w:rsidRPr="004852BD">
        <w:rPr>
          <w:rFonts w:ascii="Times New Roman" w:hAnsi="Times New Roman"/>
          <w:noProof/>
          <w:szCs w:val="24"/>
        </w:rPr>
        <w:t>[7]</w:t>
      </w:r>
      <w:r w:rsidRPr="004852BD">
        <w:rPr>
          <w:rFonts w:ascii="Times New Roman" w:hAnsi="Times New Roman"/>
          <w:noProof/>
          <w:szCs w:val="24"/>
        </w:rPr>
        <w:tab/>
        <w:t xml:space="preserve">D. Xing, S. Cheng, B. E. Logan, and J. M. Regan, </w:t>
      </w:r>
      <w:r w:rsidRPr="004852BD">
        <w:rPr>
          <w:rFonts w:ascii="Times New Roman" w:hAnsi="Times New Roman"/>
          <w:i/>
          <w:iCs/>
          <w:noProof/>
          <w:szCs w:val="24"/>
        </w:rPr>
        <w:t>Appl. Microbiol. Biotechnol.</w:t>
      </w:r>
      <w:r w:rsidRPr="004852BD">
        <w:rPr>
          <w:rFonts w:ascii="Times New Roman" w:hAnsi="Times New Roman"/>
          <w:noProof/>
          <w:szCs w:val="24"/>
        </w:rPr>
        <w:t>, vol. 85, no. 5, pp. 1575–1587, 2010.</w:t>
      </w:r>
    </w:p>
    <w:p w14:paraId="2892BB4F" w14:textId="52FB349C" w:rsidR="00D502A6" w:rsidRPr="004852BD" w:rsidRDefault="00D502A6" w:rsidP="00D502A6">
      <w:pPr>
        <w:widowControl w:val="0"/>
        <w:autoSpaceDE w:val="0"/>
        <w:autoSpaceDN w:val="0"/>
        <w:adjustRightInd w:val="0"/>
        <w:spacing w:line="240" w:lineRule="auto"/>
        <w:ind w:left="640" w:hanging="640"/>
        <w:rPr>
          <w:rFonts w:ascii="Times New Roman" w:hAnsi="Times New Roman"/>
          <w:noProof/>
          <w:szCs w:val="24"/>
        </w:rPr>
      </w:pPr>
      <w:r w:rsidRPr="004852BD">
        <w:rPr>
          <w:rFonts w:ascii="Times New Roman" w:hAnsi="Times New Roman"/>
          <w:noProof/>
          <w:szCs w:val="24"/>
        </w:rPr>
        <w:t>[8]</w:t>
      </w:r>
      <w:r w:rsidRPr="004852BD">
        <w:rPr>
          <w:rFonts w:ascii="Times New Roman" w:hAnsi="Times New Roman"/>
          <w:noProof/>
          <w:szCs w:val="24"/>
        </w:rPr>
        <w:tab/>
        <w:t xml:space="preserve">L. Gumaelius, G. Magnusson, B. Pettersson, and G. Dalhammar, </w:t>
      </w:r>
      <w:r w:rsidRPr="004852BD">
        <w:rPr>
          <w:rFonts w:ascii="Times New Roman" w:hAnsi="Times New Roman"/>
          <w:i/>
          <w:iCs/>
          <w:noProof/>
          <w:szCs w:val="24"/>
        </w:rPr>
        <w:t>Int. J. Syst. Evol. Microbiol.</w:t>
      </w:r>
      <w:r w:rsidRPr="004852BD">
        <w:rPr>
          <w:rFonts w:ascii="Times New Roman" w:hAnsi="Times New Roman"/>
          <w:noProof/>
          <w:szCs w:val="24"/>
        </w:rPr>
        <w:t>, vol. 51, no. 3, pp. 999–1006, 2001.</w:t>
      </w:r>
    </w:p>
    <w:p w14:paraId="2028804C" w14:textId="77777777" w:rsidR="00D502A6" w:rsidRPr="00D20979" w:rsidRDefault="00D502A6" w:rsidP="00D20979">
      <w:pPr>
        <w:pStyle w:val="textbody"/>
        <w:ind w:firstLine="0"/>
        <w:rPr>
          <w:sz w:val="22"/>
          <w:szCs w:val="22"/>
        </w:rPr>
      </w:pPr>
    </w:p>
    <w:sectPr w:rsidR="00D502A6" w:rsidRPr="00D2097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B24" w16cex:dateUtc="2021-01-30T20:16:00Z"/>
  <w16cex:commentExtensible w16cex:durableId="23C04BF6" w16cex:dateUtc="2021-01-30T20:19:00Z"/>
  <w16cex:commentExtensible w16cex:durableId="23C04BAB" w16cex:dateUtc="2021-01-30T20:18:00Z"/>
  <w16cex:commentExtensible w16cex:durableId="23C051D2" w16cex:dateUtc="2021-01-30T20:44:00Z"/>
  <w16cex:commentExtensible w16cex:durableId="23C052A0" w16cex:dateUtc="2021-01-30T20:48:00Z"/>
  <w16cex:commentExtensible w16cex:durableId="23C04EA5" w16cex:dateUtc="2021-01-30T20:31:00Z"/>
  <w16cex:commentExtensible w16cex:durableId="23C05308" w16cex:dateUtc="2021-01-30T20:50:00Z"/>
  <w16cex:commentExtensible w16cex:durableId="23C05508" w16cex:dateUtc="2021-01-30T20:58:00Z"/>
  <w16cex:commentExtensible w16cex:durableId="23C0556D" w16cex:dateUtc="2021-01-30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A8C081" w16cid:durableId="23C04B24"/>
  <w16cid:commentId w16cid:paraId="443C74EC" w16cid:durableId="23C04BF6"/>
  <w16cid:commentId w16cid:paraId="5A97544B" w16cid:durableId="23C04BAB"/>
  <w16cid:commentId w16cid:paraId="79075EF6" w16cid:durableId="23C051D2"/>
  <w16cid:commentId w16cid:paraId="01156897" w16cid:durableId="23C052A0"/>
  <w16cid:commentId w16cid:paraId="3C04F006" w16cid:durableId="23C04EA5"/>
  <w16cid:commentId w16cid:paraId="4F8A1BF0" w16cid:durableId="23C05308"/>
  <w16cid:commentId w16cid:paraId="284754A5" w16cid:durableId="23C05508"/>
  <w16cid:commentId w16cid:paraId="4B842800" w16cid:durableId="23C055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79"/>
    <w:rsid w:val="00080DDA"/>
    <w:rsid w:val="000814D0"/>
    <w:rsid w:val="001B2426"/>
    <w:rsid w:val="001E1D32"/>
    <w:rsid w:val="00211599"/>
    <w:rsid w:val="00250832"/>
    <w:rsid w:val="00286C9F"/>
    <w:rsid w:val="00292EF8"/>
    <w:rsid w:val="002A1CE1"/>
    <w:rsid w:val="002A34FA"/>
    <w:rsid w:val="002E5630"/>
    <w:rsid w:val="00466940"/>
    <w:rsid w:val="00591D8F"/>
    <w:rsid w:val="005F5607"/>
    <w:rsid w:val="00691ADD"/>
    <w:rsid w:val="00693A16"/>
    <w:rsid w:val="00695E4D"/>
    <w:rsid w:val="006C07B6"/>
    <w:rsid w:val="007D6A3C"/>
    <w:rsid w:val="007D72AE"/>
    <w:rsid w:val="007E36FF"/>
    <w:rsid w:val="007E774B"/>
    <w:rsid w:val="008556B7"/>
    <w:rsid w:val="008C52BD"/>
    <w:rsid w:val="00902690"/>
    <w:rsid w:val="009834F2"/>
    <w:rsid w:val="00A76920"/>
    <w:rsid w:val="00AD0B5E"/>
    <w:rsid w:val="00AF118F"/>
    <w:rsid w:val="00B173EE"/>
    <w:rsid w:val="00BE608A"/>
    <w:rsid w:val="00BE6D6F"/>
    <w:rsid w:val="00C06001"/>
    <w:rsid w:val="00C920B7"/>
    <w:rsid w:val="00CE6AEA"/>
    <w:rsid w:val="00D20979"/>
    <w:rsid w:val="00D259EC"/>
    <w:rsid w:val="00D502A6"/>
    <w:rsid w:val="00D90516"/>
    <w:rsid w:val="00E709BD"/>
    <w:rsid w:val="00E9491E"/>
    <w:rsid w:val="00EB6E21"/>
    <w:rsid w:val="00EC1579"/>
    <w:rsid w:val="00EE4840"/>
    <w:rsid w:val="00F37AD0"/>
    <w:rsid w:val="00F45F25"/>
    <w:rsid w:val="00F944E0"/>
    <w:rsid w:val="00FA0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DAB9"/>
  <w15:chartTrackingRefBased/>
  <w15:docId w15:val="{5A1949E5-368E-4477-90A0-FB222DA6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D20979"/>
    <w:pPr>
      <w:keepNext/>
      <w:spacing w:before="100" w:beforeAutospacing="1" w:after="100" w:afterAutospacing="1" w:line="240" w:lineRule="auto"/>
      <w:jc w:val="center"/>
      <w:outlineLvl w:val="0"/>
    </w:pPr>
    <w:rPr>
      <w:rFonts w:ascii="Times New Roman" w:eastAsia="Times New Roman" w:hAnsi="Times New Roman" w:cs="Times New Roman"/>
      <w:b/>
      <w:bCs/>
      <w:sz w:val="24"/>
      <w:szCs w:val="24"/>
      <w:lang w:eastAsia="de-DE"/>
    </w:rPr>
  </w:style>
  <w:style w:type="paragraph" w:styleId="Heading2">
    <w:name w:val="heading 2"/>
    <w:basedOn w:val="Normal"/>
    <w:next w:val="Normal"/>
    <w:link w:val="Heading2Char"/>
    <w:uiPriority w:val="9"/>
    <w:semiHidden/>
    <w:unhideWhenUsed/>
    <w:qFormat/>
    <w:rsid w:val="00D209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0979"/>
    <w:rPr>
      <w:rFonts w:ascii="Times New Roman" w:eastAsia="Times New Roman" w:hAnsi="Times New Roman" w:cs="Times New Roman"/>
      <w:b/>
      <w:bCs/>
      <w:sz w:val="24"/>
      <w:szCs w:val="24"/>
      <w:lang w:eastAsia="de-DE"/>
    </w:rPr>
  </w:style>
  <w:style w:type="paragraph" w:customStyle="1" w:styleId="textbody">
    <w:name w:val="textbody"/>
    <w:basedOn w:val="Normal"/>
    <w:uiPriority w:val="99"/>
    <w:rsid w:val="00D20979"/>
    <w:pPr>
      <w:tabs>
        <w:tab w:val="left" w:pos="288"/>
      </w:tabs>
      <w:spacing w:after="0" w:line="240" w:lineRule="auto"/>
      <w:ind w:firstLine="289"/>
      <w:jc w:val="both"/>
    </w:pPr>
    <w:rPr>
      <w:rFonts w:ascii="Times New Roman" w:eastAsia="Times New Roman" w:hAnsi="Times New Roman" w:cs="Times New Roman"/>
      <w:sz w:val="20"/>
      <w:szCs w:val="24"/>
      <w:lang w:val="en-GB" w:eastAsia="de-DE"/>
    </w:rPr>
  </w:style>
  <w:style w:type="paragraph" w:customStyle="1" w:styleId="Authors">
    <w:name w:val="Authors"/>
    <w:basedOn w:val="Heading2"/>
    <w:uiPriority w:val="99"/>
    <w:rsid w:val="00D20979"/>
    <w:pPr>
      <w:keepLines w:val="0"/>
      <w:tabs>
        <w:tab w:val="left" w:pos="288"/>
      </w:tabs>
      <w:spacing w:before="240" w:after="60" w:line="240" w:lineRule="auto"/>
      <w:jc w:val="center"/>
    </w:pPr>
    <w:rPr>
      <w:rFonts w:ascii="Times New Roman" w:eastAsia="Times New Roman" w:hAnsi="Times New Roman" w:cs="Times New Roman"/>
      <w:bCs/>
      <w:i/>
      <w:color w:val="auto"/>
      <w:sz w:val="20"/>
      <w:lang w:eastAsia="de-DE"/>
    </w:rPr>
  </w:style>
  <w:style w:type="paragraph" w:customStyle="1" w:styleId="Affiliation">
    <w:name w:val="Affiliation"/>
    <w:basedOn w:val="Normal"/>
    <w:uiPriority w:val="99"/>
    <w:rsid w:val="00D20979"/>
    <w:pPr>
      <w:keepNext/>
      <w:tabs>
        <w:tab w:val="left" w:pos="288"/>
      </w:tabs>
      <w:spacing w:before="240" w:after="60" w:line="240" w:lineRule="auto"/>
      <w:jc w:val="center"/>
      <w:outlineLvl w:val="1"/>
    </w:pPr>
    <w:rPr>
      <w:rFonts w:ascii="Times New Roman" w:eastAsia="Times New Roman" w:hAnsi="Times New Roman" w:cs="Arial"/>
      <w:bCs/>
      <w:sz w:val="20"/>
      <w:szCs w:val="26"/>
      <w:lang w:eastAsia="de-DE"/>
    </w:rPr>
  </w:style>
  <w:style w:type="character" w:styleId="CommentReference">
    <w:name w:val="annotation reference"/>
    <w:basedOn w:val="DefaultParagraphFont"/>
    <w:uiPriority w:val="99"/>
    <w:semiHidden/>
    <w:unhideWhenUsed/>
    <w:rsid w:val="00D20979"/>
    <w:rPr>
      <w:sz w:val="16"/>
      <w:szCs w:val="16"/>
    </w:rPr>
  </w:style>
  <w:style w:type="paragraph" w:styleId="CommentText">
    <w:name w:val="annotation text"/>
    <w:basedOn w:val="Normal"/>
    <w:link w:val="CommentTextChar"/>
    <w:uiPriority w:val="99"/>
    <w:semiHidden/>
    <w:unhideWhenUsed/>
    <w:rsid w:val="00D20979"/>
    <w:pPr>
      <w:spacing w:after="20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D20979"/>
    <w:rPr>
      <w:rFonts w:ascii="Calibri" w:eastAsia="Calibri" w:hAnsi="Calibri" w:cs="Times New Roman"/>
      <w:sz w:val="20"/>
      <w:szCs w:val="20"/>
      <w:lang w:val="en-GB"/>
    </w:rPr>
  </w:style>
  <w:style w:type="character" w:customStyle="1" w:styleId="Heading2Char">
    <w:name w:val="Heading 2 Char"/>
    <w:basedOn w:val="DefaultParagraphFont"/>
    <w:link w:val="Heading2"/>
    <w:uiPriority w:val="9"/>
    <w:semiHidden/>
    <w:rsid w:val="00D2097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20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2EF8"/>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92EF8"/>
    <w:rPr>
      <w:rFonts w:ascii="Calibri" w:eastAsia="Calibri" w:hAnsi="Calibri" w:cs="Times New Roman"/>
      <w:b/>
      <w:bCs/>
      <w:sz w:val="20"/>
      <w:szCs w:val="20"/>
      <w:lang w:val="en-GB"/>
    </w:rPr>
  </w:style>
  <w:style w:type="character" w:styleId="Hyperlink">
    <w:name w:val="Hyperlink"/>
    <w:basedOn w:val="DefaultParagraphFont"/>
    <w:uiPriority w:val="99"/>
    <w:unhideWhenUsed/>
    <w:rsid w:val="007D72AE"/>
    <w:rPr>
      <w:color w:val="0563C1" w:themeColor="hyperlink"/>
      <w:u w:val="single"/>
    </w:rPr>
  </w:style>
  <w:style w:type="character" w:styleId="PlaceholderText">
    <w:name w:val="Placeholder Text"/>
    <w:basedOn w:val="DefaultParagraphFont"/>
    <w:uiPriority w:val="99"/>
    <w:semiHidden/>
    <w:rsid w:val="001B24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2</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Charlton</dc:creator>
  <cp:keywords/>
  <dc:description/>
  <cp:lastModifiedBy>Samuel Charlton</cp:lastModifiedBy>
  <cp:revision>4</cp:revision>
  <cp:lastPrinted>2021-01-31T12:48:00Z</cp:lastPrinted>
  <dcterms:created xsi:type="dcterms:W3CDTF">2021-02-15T10:33:00Z</dcterms:created>
  <dcterms:modified xsi:type="dcterms:W3CDTF">2021-02-15T20:27:00Z</dcterms:modified>
</cp:coreProperties>
</file>