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A54C4" w14:textId="079E3C03" w:rsidR="008D468B" w:rsidRPr="008D468B" w:rsidRDefault="002C1081" w:rsidP="008D468B">
      <w:pPr>
        <w:rPr>
          <w:rFonts w:ascii="Garamond" w:hAnsi="Garamond"/>
        </w:rPr>
      </w:pPr>
      <w:r w:rsidRPr="000A272D">
        <w:rPr>
          <w:rFonts w:ascii="Garamond" w:hAnsi="Garamond"/>
          <w:b/>
        </w:rPr>
        <w:t>Title:</w:t>
      </w:r>
      <w:r w:rsidRPr="000A272D">
        <w:rPr>
          <w:rFonts w:ascii="Garamond" w:hAnsi="Garamond"/>
        </w:rPr>
        <w:t xml:space="preserve"> </w:t>
      </w:r>
      <w:r w:rsidR="008D468B">
        <w:rPr>
          <w:rFonts w:ascii="Garamond" w:hAnsi="Garamond"/>
        </w:rPr>
        <w:t>Controlling Gas Diffusion Layer Wettability via Additive M</w:t>
      </w:r>
      <w:r w:rsidR="008D468B" w:rsidRPr="008D468B">
        <w:rPr>
          <w:rFonts w:ascii="Garamond" w:hAnsi="Garamond"/>
        </w:rPr>
        <w:t>anufacturi</w:t>
      </w:r>
      <w:r w:rsidR="008D468B">
        <w:rPr>
          <w:rFonts w:ascii="Garamond" w:hAnsi="Garamond"/>
        </w:rPr>
        <w:t>ng and S</w:t>
      </w:r>
      <w:r w:rsidR="008D468B" w:rsidRPr="008D468B">
        <w:rPr>
          <w:rFonts w:ascii="Garamond" w:hAnsi="Garamond"/>
        </w:rPr>
        <w:t>imulation</w:t>
      </w:r>
    </w:p>
    <w:p w14:paraId="01D2B4C8" w14:textId="6E4AA574" w:rsidR="00D1010D" w:rsidRPr="000A272D" w:rsidRDefault="00D1010D">
      <w:pPr>
        <w:rPr>
          <w:rFonts w:ascii="Garamond" w:hAnsi="Garamond"/>
        </w:rPr>
      </w:pPr>
    </w:p>
    <w:p w14:paraId="41379897" w14:textId="77777777" w:rsidR="002C1081" w:rsidRDefault="002C1081"/>
    <w:p w14:paraId="46411D07" w14:textId="4A792C17" w:rsidR="002C1081" w:rsidRPr="000A272D" w:rsidRDefault="002C1081" w:rsidP="002C1081">
      <w:pPr>
        <w:jc w:val="both"/>
        <w:rPr>
          <w:rFonts w:ascii="Garamond" w:hAnsi="Garamond"/>
        </w:rPr>
      </w:pPr>
      <w:bookmarkStart w:id="0" w:name="_GoBack"/>
      <w:r>
        <w:rPr>
          <w:rFonts w:ascii="Garamond" w:hAnsi="Garamond"/>
        </w:rPr>
        <w:t>C</w:t>
      </w:r>
      <w:r w:rsidRPr="00897307">
        <w:rPr>
          <w:rFonts w:ascii="Garamond" w:hAnsi="Garamond"/>
        </w:rPr>
        <w:t xml:space="preserve">hemical exchange and energy storage devices utilize gas diffusion layers (GDLs) to facilitate the transport of gaseous reactants and liquid electrolytes to a catalyst site. </w:t>
      </w:r>
      <w:r w:rsidRPr="00F51668">
        <w:rPr>
          <w:rFonts w:ascii="Garamond" w:hAnsi="Garamond"/>
          <w:b/>
          <w:bCs/>
        </w:rPr>
        <w:t>The goal of the current work is to study the liquid-gas interface dynamics that result in flooding in GDLs in the context of electrochemical CO</w:t>
      </w:r>
      <w:r w:rsidRPr="00F51668">
        <w:rPr>
          <w:rFonts w:ascii="Garamond" w:hAnsi="Garamond"/>
          <w:b/>
          <w:bCs/>
          <w:vertAlign w:val="subscript"/>
        </w:rPr>
        <w:t>2</w:t>
      </w:r>
      <w:r w:rsidRPr="00F51668">
        <w:rPr>
          <w:rFonts w:ascii="Garamond" w:hAnsi="Garamond"/>
          <w:b/>
          <w:bCs/>
        </w:rPr>
        <w:t xml:space="preserve"> reduction (CO2R)</w:t>
      </w:r>
      <w:r w:rsidRPr="00897307">
        <w:rPr>
          <w:rFonts w:ascii="Garamond" w:hAnsi="Garamond"/>
        </w:rPr>
        <w:t>. In CO2R reactors, flooding of the porous layer imposes a great challenge in expanding this technology to industrial applications. In fact, flooding of the GDL can happen within several hours of operation, leading to a reduction in selectivity toward CO2R reaction products.</w:t>
      </w:r>
      <w:r w:rsidRPr="00897307">
        <w:rPr>
          <w:rStyle w:val="EndnoteReference"/>
          <w:rFonts w:ascii="Garamond" w:hAnsi="Garamond"/>
        </w:rPr>
        <w:endnoteReference w:id="1"/>
      </w:r>
      <w:r w:rsidRPr="00897307">
        <w:rPr>
          <w:rFonts w:ascii="Garamond" w:hAnsi="Garamond"/>
        </w:rPr>
        <w:t xml:space="preserve"> </w:t>
      </w:r>
      <w:r w:rsidR="000A272D">
        <w:rPr>
          <w:rFonts w:ascii="Garamond" w:hAnsi="Garamond"/>
        </w:rPr>
        <w:t>Generally</w:t>
      </w:r>
      <w:r w:rsidRPr="00897307">
        <w:rPr>
          <w:rFonts w:ascii="Garamond" w:hAnsi="Garamond"/>
        </w:rPr>
        <w:t xml:space="preserve">, flooding is inhibited by hydrophobic </w:t>
      </w:r>
      <w:r>
        <w:rPr>
          <w:rFonts w:ascii="Garamond" w:hAnsi="Garamond"/>
        </w:rPr>
        <w:t xml:space="preserve">coating applied to </w:t>
      </w:r>
      <w:r w:rsidRPr="00897307">
        <w:rPr>
          <w:rFonts w:ascii="Garamond" w:hAnsi="Garamond"/>
        </w:rPr>
        <w:t>internal surfaces of the GDL, such as polytetrafluoroethylene (PTFE). However, recent innovations in additive manufacturing and catalyst design have enabled high-performance reactors with unprecedented rates of product conversion. Wettability and the potential for flooding increases as lower surface tension CO2R reaction products (e.g., formic acid, methanol, ethanol, and 1-propanol) are introduced in high concentrations into the flowing liquid streams, thus challenging existing GDLs. If the GDL becomes flooded and pores start to fill up with liquid, gaseous CO</w:t>
      </w:r>
      <w:r w:rsidRPr="00897307">
        <w:rPr>
          <w:rFonts w:ascii="Garamond" w:hAnsi="Garamond"/>
          <w:vertAlign w:val="subscript"/>
        </w:rPr>
        <w:t>2</w:t>
      </w:r>
      <w:r w:rsidRPr="00897307">
        <w:rPr>
          <w:rFonts w:ascii="Garamond" w:hAnsi="Garamond"/>
        </w:rPr>
        <w:t xml:space="preserve"> is blocked from reaching the active site catalyst surface. It is hypothesized that the liquid electrolyte flooding the GDL under high-conversion reactor operation leads to suboptimal performance or even failure of the electrochemical reactor. </w:t>
      </w:r>
    </w:p>
    <w:p w14:paraId="29B209AE" w14:textId="77777777" w:rsidR="007A3375" w:rsidRDefault="007A3375" w:rsidP="002C1081">
      <w:pPr>
        <w:jc w:val="both"/>
        <w:rPr>
          <w:rFonts w:ascii="Garamond" w:hAnsi="Garamond"/>
          <w:b/>
          <w:bCs/>
        </w:rPr>
      </w:pPr>
    </w:p>
    <w:p w14:paraId="0AC940AF" w14:textId="53BB9701" w:rsidR="007A3375" w:rsidRDefault="007A3375" w:rsidP="002C1081">
      <w:pPr>
        <w:jc w:val="both"/>
        <w:rPr>
          <w:rFonts w:ascii="Garamond" w:eastAsiaTheme="minorEastAsia" w:hAnsi="Garamond"/>
          <w:iCs/>
        </w:rPr>
      </w:pPr>
      <w:r>
        <w:rPr>
          <w:rFonts w:ascii="Garamond" w:eastAsiaTheme="minorEastAsia" w:hAnsi="Garamond"/>
          <w:bCs/>
          <w:iCs/>
        </w:rPr>
        <w:t>We</w:t>
      </w:r>
      <w:r w:rsidRPr="00C6455A">
        <w:rPr>
          <w:rFonts w:ascii="Garamond" w:eastAsiaTheme="minorEastAsia" w:hAnsi="Garamond"/>
          <w:bCs/>
          <w:iCs/>
        </w:rPr>
        <w:t xml:space="preserve"> </w:t>
      </w:r>
      <w:r>
        <w:rPr>
          <w:rFonts w:ascii="Garamond" w:eastAsiaTheme="minorEastAsia" w:hAnsi="Garamond"/>
          <w:bCs/>
          <w:iCs/>
        </w:rPr>
        <w:t>will</w:t>
      </w:r>
      <w:r w:rsidRPr="00C6455A">
        <w:rPr>
          <w:rFonts w:ascii="Garamond" w:eastAsiaTheme="minorEastAsia" w:hAnsi="Garamond"/>
          <w:bCs/>
          <w:iCs/>
        </w:rPr>
        <w:t xml:space="preserve"> </w:t>
      </w:r>
      <w:r>
        <w:rPr>
          <w:rFonts w:ascii="Garamond" w:eastAsiaTheme="minorEastAsia" w:hAnsi="Garamond"/>
          <w:bCs/>
          <w:iCs/>
        </w:rPr>
        <w:t xml:space="preserve">present a three-dimensional model incorporating the </w:t>
      </w:r>
      <w:r w:rsidRPr="00C6455A">
        <w:rPr>
          <w:rFonts w:ascii="Garamond" w:eastAsiaTheme="minorEastAsia" w:hAnsi="Garamond"/>
          <w:bCs/>
          <w:iCs/>
        </w:rPr>
        <w:t xml:space="preserve">Hoffman </w:t>
      </w:r>
      <w:r>
        <w:rPr>
          <w:rFonts w:ascii="Garamond" w:eastAsiaTheme="minorEastAsia" w:hAnsi="Garamond"/>
          <w:bCs/>
          <w:iCs/>
        </w:rPr>
        <w:t>expression</w:t>
      </w:r>
      <w:r w:rsidRPr="00C6455A">
        <w:rPr>
          <w:rFonts w:ascii="Garamond" w:eastAsiaTheme="minorEastAsia" w:hAnsi="Garamond"/>
          <w:bCs/>
          <w:iCs/>
        </w:rPr>
        <w:t xml:space="preserve"> </w:t>
      </w:r>
      <w:r>
        <w:rPr>
          <w:rFonts w:ascii="Garamond" w:eastAsiaTheme="minorEastAsia" w:hAnsi="Garamond"/>
          <w:bCs/>
          <w:iCs/>
        </w:rPr>
        <w:t>for</w:t>
      </w:r>
      <w:r w:rsidR="00AF5E3C">
        <w:rPr>
          <w:rFonts w:ascii="Garamond" w:eastAsiaTheme="minorEastAsia" w:hAnsi="Garamond"/>
          <w:bCs/>
          <w:iCs/>
        </w:rPr>
        <w:t xml:space="preserve"> dynamic</w:t>
      </w:r>
      <w:r>
        <w:rPr>
          <w:rFonts w:ascii="Garamond" w:eastAsiaTheme="minorEastAsia" w:hAnsi="Garamond"/>
          <w:bCs/>
          <w:iCs/>
        </w:rPr>
        <w:t xml:space="preserve"> </w:t>
      </w:r>
      <w:r w:rsidRPr="00C6455A">
        <w:rPr>
          <w:rFonts w:ascii="Garamond" w:eastAsiaTheme="minorEastAsia" w:hAnsi="Garamond"/>
          <w:bCs/>
          <w:iCs/>
        </w:rPr>
        <w:t>contact angle</w:t>
      </w:r>
      <w:r>
        <w:rPr>
          <w:rFonts w:ascii="Garamond" w:eastAsiaTheme="minorEastAsia" w:hAnsi="Garamond"/>
          <w:bCs/>
          <w:iCs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</m:oMath>
      <w:r>
        <w:rPr>
          <w:rFonts w:ascii="Garamond" w:eastAsiaTheme="minorEastAsia" w:hAnsi="Garamond"/>
          <w:bCs/>
          <w:iCs/>
        </w:rPr>
        <w:t xml:space="preserve">, </w:t>
      </w:r>
      <w:r w:rsidR="00AF5E3C">
        <w:rPr>
          <w:rFonts w:ascii="Garamond" w:eastAsiaTheme="minorEastAsia" w:hAnsi="Garamond"/>
          <w:bCs/>
          <w:iCs/>
        </w:rPr>
        <w:t>for CO2R</w:t>
      </w:r>
      <w:r w:rsidRPr="00C6455A">
        <w:rPr>
          <w:rFonts w:ascii="Garamond" w:eastAsiaTheme="minorEastAsia" w:hAnsi="Garamond"/>
          <w:bCs/>
          <w:iCs/>
        </w:rPr>
        <w:t xml:space="preserve"> products</w:t>
      </w:r>
      <w:r>
        <w:rPr>
          <w:rFonts w:ascii="Garamond" w:eastAsiaTheme="minorEastAsia" w:hAnsi="Garamond"/>
          <w:bCs/>
          <w:iCs/>
        </w:rPr>
        <w:t>. In this model,</w:t>
      </w:r>
      <w:r w:rsidRPr="00C6455A">
        <w:rPr>
          <w:rFonts w:ascii="Garamond" w:eastAsiaTheme="minorEastAsia" w:hAnsi="Garamond"/>
          <w:bCs/>
          <w:iCs/>
        </w:rPr>
        <w:t xml:space="preserve"> dependencies on capillary number</w:t>
      </w:r>
      <w:r>
        <w:rPr>
          <w:rFonts w:ascii="Garamond" w:eastAsiaTheme="minorEastAsia" w:hAnsi="Garamond"/>
          <w:bCs/>
          <w:iCs/>
        </w:rPr>
        <w:t xml:space="preserve">, </w:t>
      </w:r>
      <m:oMath>
        <m:r>
          <w:rPr>
            <w:rFonts w:ascii="Cambria Math" w:eastAsiaTheme="minorEastAsia" w:hAnsi="Cambria Math"/>
          </w:rPr>
          <m:t>Ca</m:t>
        </m:r>
      </m:oMath>
      <w:r>
        <w:rPr>
          <w:rFonts w:ascii="Garamond" w:eastAsiaTheme="minorEastAsia" w:hAnsi="Garamond"/>
          <w:bCs/>
          <w:iCs/>
        </w:rPr>
        <w:t xml:space="preserve">, and equilibrium angle,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</m:oMath>
      <w:r>
        <w:rPr>
          <w:rFonts w:ascii="Garamond" w:eastAsiaTheme="minorEastAsia" w:hAnsi="Garamond"/>
          <w:bCs/>
          <w:iCs/>
        </w:rPr>
        <w:t>, are</w:t>
      </w:r>
      <w:r w:rsidRPr="00C6455A">
        <w:rPr>
          <w:rFonts w:ascii="Garamond" w:eastAsiaTheme="minorEastAsia" w:hAnsi="Garamond"/>
          <w:bCs/>
          <w:iCs/>
        </w:rPr>
        <w:t xml:space="preserve"> </w:t>
      </w:r>
      <w:r>
        <w:rPr>
          <w:rFonts w:ascii="Garamond" w:eastAsiaTheme="minorEastAsia" w:hAnsi="Garamond"/>
          <w:bCs/>
          <w:iCs/>
        </w:rPr>
        <w:t>expressed</w:t>
      </w:r>
      <w:r w:rsidRPr="00C6455A">
        <w:rPr>
          <w:rFonts w:ascii="Garamond" w:eastAsiaTheme="minorEastAsia" w:hAnsi="Garamond"/>
          <w:bCs/>
          <w:iCs/>
        </w:rPr>
        <w:t xml:space="preserve"> as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Hoff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Ca+</m:t>
            </m:r>
            <m:sSubSup>
              <m:sSubSupPr>
                <m:ctrlPr>
                  <w:rPr>
                    <w:rFonts w:ascii="Cambria Math" w:eastAsiaTheme="minorEastAsia" w:hAnsi="Cambria Math"/>
                    <w:bCs/>
                    <w:i/>
                    <w:iCs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Hoff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bSup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sub>
                </m:sSub>
              </m:e>
            </m:d>
          </m:e>
        </m:d>
      </m:oMath>
      <w:r w:rsidRPr="00C6455A">
        <w:rPr>
          <w:rFonts w:ascii="Garamond" w:eastAsiaTheme="minorEastAsia" w:hAnsi="Garamond"/>
          <w:bCs/>
          <w:iCs/>
        </w:rPr>
        <w:t xml:space="preserve">. </w:t>
      </w:r>
      <w:r>
        <w:rPr>
          <w:rFonts w:ascii="Garamond" w:eastAsiaTheme="minorEastAsia" w:hAnsi="Garamond"/>
          <w:bCs/>
          <w:iCs/>
        </w:rPr>
        <w:t xml:space="preserve">Next </w:t>
      </w:r>
      <w:r w:rsidR="00AF5E3C">
        <w:rPr>
          <w:rFonts w:ascii="Garamond" w:eastAsiaTheme="minorEastAsia" w:hAnsi="Garamond"/>
          <w:bCs/>
          <w:iCs/>
        </w:rPr>
        <w:t>the governing equations</w:t>
      </w:r>
      <w:r w:rsidRPr="00C6455A">
        <w:rPr>
          <w:rFonts w:ascii="Garamond" w:eastAsiaTheme="minorEastAsia" w:hAnsi="Garamond"/>
          <w:bCs/>
          <w:iCs/>
        </w:rPr>
        <w:t xml:space="preserve"> will be discretized numerically using </w:t>
      </w:r>
      <w:r w:rsidR="00AF5E3C">
        <w:rPr>
          <w:rFonts w:ascii="Garamond" w:eastAsiaTheme="minorEastAsia" w:hAnsi="Garamond"/>
          <w:bCs/>
          <w:iCs/>
        </w:rPr>
        <w:t xml:space="preserve">the </w:t>
      </w:r>
      <w:r w:rsidRPr="00C6455A">
        <w:rPr>
          <w:rFonts w:ascii="Garamond" w:eastAsiaTheme="minorEastAsia" w:hAnsi="Garamond"/>
          <w:bCs/>
          <w:iCs/>
        </w:rPr>
        <w:t xml:space="preserve">volume of fluid </w:t>
      </w:r>
      <w:r>
        <w:rPr>
          <w:rFonts w:ascii="Garamond" w:eastAsiaTheme="minorEastAsia" w:hAnsi="Garamond"/>
          <w:bCs/>
          <w:iCs/>
        </w:rPr>
        <w:t>technique</w:t>
      </w:r>
      <w:r w:rsidRPr="00C6455A">
        <w:rPr>
          <w:rFonts w:ascii="Garamond" w:eastAsiaTheme="minorEastAsia" w:hAnsi="Garamond"/>
          <w:bCs/>
          <w:iCs/>
        </w:rPr>
        <w:t xml:space="preserve"> in </w:t>
      </w:r>
      <w:proofErr w:type="spellStart"/>
      <w:r w:rsidRPr="00C6455A">
        <w:rPr>
          <w:rFonts w:ascii="Garamond" w:eastAsiaTheme="minorEastAsia" w:hAnsi="Garamond"/>
          <w:bCs/>
          <w:iCs/>
        </w:rPr>
        <w:t>OpenFOAM</w:t>
      </w:r>
      <w:proofErr w:type="spellEnd"/>
      <w:r w:rsidRPr="00C6455A">
        <w:rPr>
          <w:rFonts w:ascii="Garamond" w:eastAsiaTheme="minorEastAsia" w:hAnsi="Garamond"/>
          <w:bCs/>
          <w:iCs/>
        </w:rPr>
        <w:t xml:space="preserve"> </w:t>
      </w:r>
      <w:r>
        <w:rPr>
          <w:rFonts w:ascii="Garamond" w:eastAsiaTheme="minorEastAsia" w:hAnsi="Garamond"/>
          <w:bCs/>
          <w:iCs/>
        </w:rPr>
        <w:t xml:space="preserve">and </w:t>
      </w:r>
      <w:r w:rsidRPr="00C6455A">
        <w:rPr>
          <w:rFonts w:ascii="Garamond" w:eastAsiaTheme="minorEastAsia" w:hAnsi="Garamond"/>
          <w:bCs/>
          <w:iCs/>
        </w:rPr>
        <w:t>executed o</w:t>
      </w:r>
      <w:r>
        <w:rPr>
          <w:rFonts w:ascii="Garamond" w:eastAsiaTheme="minorEastAsia" w:hAnsi="Garamond"/>
          <w:bCs/>
          <w:iCs/>
        </w:rPr>
        <w:t>n a parallel computing platform</w:t>
      </w:r>
      <w:r w:rsidR="00AF5E3C">
        <w:rPr>
          <w:rFonts w:ascii="Garamond" w:eastAsiaTheme="minorEastAsia" w:hAnsi="Garamond"/>
          <w:bCs/>
          <w:iCs/>
        </w:rPr>
        <w:t xml:space="preserve">. </w:t>
      </w:r>
      <w:r>
        <w:rPr>
          <w:rFonts w:ascii="Garamond" w:eastAsiaTheme="minorEastAsia" w:hAnsi="Garamond"/>
          <w:bCs/>
          <w:iCs/>
        </w:rPr>
        <w:t>The CFD core of this simulation</w:t>
      </w:r>
      <w:r w:rsidRPr="00C6455A">
        <w:rPr>
          <w:rFonts w:ascii="Garamond" w:eastAsiaTheme="minorEastAsia" w:hAnsi="Garamond"/>
          <w:bCs/>
          <w:iCs/>
        </w:rPr>
        <w:t xml:space="preserve"> </w:t>
      </w:r>
      <w:r>
        <w:rPr>
          <w:rFonts w:ascii="Garamond" w:eastAsiaTheme="minorEastAsia" w:hAnsi="Garamond"/>
          <w:bCs/>
          <w:iCs/>
        </w:rPr>
        <w:t>serves as foundation to</w:t>
      </w:r>
      <w:r w:rsidRPr="00C6455A">
        <w:rPr>
          <w:rFonts w:ascii="Garamond" w:eastAsiaTheme="minorEastAsia" w:hAnsi="Garamond"/>
          <w:bCs/>
          <w:iCs/>
        </w:rPr>
        <w:t xml:space="preserve"> an optimization algorithm that </w:t>
      </w:r>
      <w:r>
        <w:rPr>
          <w:rFonts w:ascii="Garamond" w:eastAsiaTheme="minorEastAsia" w:hAnsi="Garamond"/>
          <w:bCs/>
          <w:iCs/>
        </w:rPr>
        <w:t>iterates</w:t>
      </w:r>
      <w:r w:rsidRPr="00C6455A">
        <w:rPr>
          <w:rFonts w:ascii="Garamond" w:eastAsiaTheme="minorEastAsia" w:hAnsi="Garamond"/>
          <w:bCs/>
          <w:iCs/>
        </w:rPr>
        <w:t xml:space="preserve"> </w:t>
      </w:r>
      <w:r>
        <w:rPr>
          <w:rFonts w:ascii="Garamond" w:eastAsiaTheme="minorEastAsia" w:hAnsi="Garamond"/>
          <w:bCs/>
          <w:iCs/>
        </w:rPr>
        <w:t>over the</w:t>
      </w:r>
      <w:r w:rsidRPr="00C6455A">
        <w:rPr>
          <w:rFonts w:ascii="Garamond" w:eastAsiaTheme="minorEastAsia" w:hAnsi="Garamond"/>
          <w:bCs/>
          <w:iCs/>
        </w:rPr>
        <w:t xml:space="preserve"> surface texture and morphology of</w:t>
      </w:r>
      <w:r>
        <w:rPr>
          <w:rFonts w:ascii="Garamond" w:eastAsiaTheme="minorEastAsia" w:hAnsi="Garamond"/>
          <w:bCs/>
          <w:iCs/>
        </w:rPr>
        <w:t xml:space="preserve"> the</w:t>
      </w:r>
      <w:r w:rsidRPr="00C6455A">
        <w:rPr>
          <w:rFonts w:ascii="Garamond" w:eastAsiaTheme="minorEastAsia" w:hAnsi="Garamond"/>
          <w:bCs/>
          <w:iCs/>
        </w:rPr>
        <w:t xml:space="preserve"> GDL to </w:t>
      </w:r>
      <w:r>
        <w:rPr>
          <w:rFonts w:ascii="Garamond" w:eastAsiaTheme="minorEastAsia" w:hAnsi="Garamond"/>
          <w:bCs/>
          <w:iCs/>
        </w:rPr>
        <w:t>study the liquid saturation as a function of capillary pressure.</w:t>
      </w:r>
      <w:r w:rsidR="000A272D">
        <w:rPr>
          <w:rFonts w:ascii="Garamond" w:eastAsiaTheme="minorEastAsia" w:hAnsi="Garamond"/>
          <w:b/>
          <w:iCs/>
        </w:rPr>
        <w:t xml:space="preserve"> </w:t>
      </w:r>
      <w:r w:rsidRPr="00897307">
        <w:rPr>
          <w:rFonts w:ascii="Garamond" w:eastAsiaTheme="minorEastAsia" w:hAnsi="Garamond"/>
          <w:iCs/>
        </w:rPr>
        <w:t xml:space="preserve">Three morphologies of </w:t>
      </w:r>
      <w:proofErr w:type="spellStart"/>
      <w:r w:rsidRPr="00897307">
        <w:rPr>
          <w:rFonts w:ascii="Garamond" w:eastAsiaTheme="minorEastAsia" w:hAnsi="Garamond"/>
          <w:iCs/>
        </w:rPr>
        <w:t>gyroids</w:t>
      </w:r>
      <w:proofErr w:type="spellEnd"/>
      <w:r w:rsidRPr="00897307">
        <w:rPr>
          <w:rFonts w:ascii="Garamond" w:eastAsiaTheme="minorEastAsia" w:hAnsi="Garamond"/>
          <w:iCs/>
        </w:rPr>
        <w:t xml:space="preserve">, lattice structures, and tubular arrays in combination with three surface textures of triangular waves, </w:t>
      </w:r>
      <w:proofErr w:type="spellStart"/>
      <w:r w:rsidRPr="00897307">
        <w:rPr>
          <w:rFonts w:ascii="Garamond" w:eastAsiaTheme="minorEastAsia" w:hAnsi="Garamond"/>
          <w:iCs/>
        </w:rPr>
        <w:t>voronoi</w:t>
      </w:r>
      <w:proofErr w:type="spellEnd"/>
      <w:r w:rsidRPr="00897307">
        <w:rPr>
          <w:rFonts w:ascii="Garamond" w:eastAsiaTheme="minorEastAsia" w:hAnsi="Garamond"/>
          <w:iCs/>
        </w:rPr>
        <w:t xml:space="preserve"> embossment, and finned embossments are selected for the purpose of study. The designs are constrained to have equal liquid-gas interface area and contact line length. However, surface texture parameters </w:t>
      </w:r>
      <w:r w:rsidR="008D468B">
        <w:rPr>
          <w:rFonts w:ascii="Garamond" w:eastAsiaTheme="minorEastAsia" w:hAnsi="Garamond"/>
          <w:iCs/>
        </w:rPr>
        <w:t>such as</w:t>
      </w:r>
      <w:r w:rsidRPr="00897307">
        <w:rPr>
          <w:rFonts w:ascii="Garamond" w:eastAsiaTheme="minorEastAsia" w:hAnsi="Garamond"/>
          <w:iCs/>
        </w:rPr>
        <w:t xml:space="preserve"> pattern density, chord height, and number of cells per unit volume are unconstrained variables that can be optimized. </w:t>
      </w:r>
      <w:r w:rsidR="000A272D">
        <w:rPr>
          <w:rFonts w:ascii="Garamond" w:eastAsiaTheme="minorEastAsia" w:hAnsi="Garamond"/>
          <w:iCs/>
        </w:rPr>
        <w:t xml:space="preserve">To update the geometry in each iteration, </w:t>
      </w:r>
      <w:proofErr w:type="spellStart"/>
      <w:r w:rsidR="000A272D">
        <w:rPr>
          <w:rFonts w:ascii="Garamond" w:eastAsiaTheme="minorEastAsia" w:hAnsi="Garamond"/>
          <w:iCs/>
        </w:rPr>
        <w:t>nTopology</w:t>
      </w:r>
      <w:proofErr w:type="spellEnd"/>
      <w:r w:rsidR="000A272D">
        <w:rPr>
          <w:rFonts w:ascii="Garamond" w:eastAsiaTheme="minorEastAsia" w:hAnsi="Garamond"/>
          <w:iCs/>
        </w:rPr>
        <w:t xml:space="preserve"> software has been used to create a new lattice structure with new set</w:t>
      </w:r>
      <w:r w:rsidR="00AF5E3C">
        <w:rPr>
          <w:rFonts w:ascii="Garamond" w:eastAsiaTheme="minorEastAsia" w:hAnsi="Garamond"/>
          <w:iCs/>
        </w:rPr>
        <w:t>s</w:t>
      </w:r>
      <w:r w:rsidR="000A272D">
        <w:rPr>
          <w:rFonts w:ascii="Garamond" w:eastAsiaTheme="minorEastAsia" w:hAnsi="Garamond"/>
          <w:iCs/>
        </w:rPr>
        <w:t xml:space="preserve"> of input variables. This </w:t>
      </w:r>
      <w:r w:rsidR="00AF5E3C">
        <w:rPr>
          <w:rFonts w:ascii="Garamond" w:eastAsiaTheme="minorEastAsia" w:hAnsi="Garamond"/>
          <w:iCs/>
        </w:rPr>
        <w:t>unique software</w:t>
      </w:r>
      <w:r w:rsidR="008D468B">
        <w:rPr>
          <w:rFonts w:ascii="Garamond" w:eastAsiaTheme="minorEastAsia" w:hAnsi="Garamond"/>
          <w:iCs/>
        </w:rPr>
        <w:t xml:space="preserve"> integration</w:t>
      </w:r>
      <w:r w:rsidR="000A272D">
        <w:rPr>
          <w:rFonts w:ascii="Garamond" w:eastAsiaTheme="minorEastAsia" w:hAnsi="Garamond"/>
          <w:iCs/>
        </w:rPr>
        <w:t xml:space="preserve"> offers a significant advantage over geometry manipulation in </w:t>
      </w:r>
      <w:proofErr w:type="spellStart"/>
      <w:r w:rsidR="000A272D">
        <w:rPr>
          <w:rFonts w:ascii="Garamond" w:eastAsiaTheme="minorEastAsia" w:hAnsi="Garamond"/>
          <w:iCs/>
        </w:rPr>
        <w:t>OpenFOAM</w:t>
      </w:r>
      <w:proofErr w:type="spellEnd"/>
      <w:r w:rsidR="000A272D">
        <w:rPr>
          <w:rFonts w:ascii="Garamond" w:eastAsiaTheme="minorEastAsia" w:hAnsi="Garamond"/>
          <w:iCs/>
        </w:rPr>
        <w:t xml:space="preserve"> and could be </w:t>
      </w:r>
      <w:r w:rsidR="00AF5E3C">
        <w:rPr>
          <w:rFonts w:ascii="Garamond" w:eastAsiaTheme="minorEastAsia" w:hAnsi="Garamond"/>
          <w:iCs/>
        </w:rPr>
        <w:t>applied to</w:t>
      </w:r>
      <w:r w:rsidR="000A272D">
        <w:rPr>
          <w:rFonts w:ascii="Garamond" w:eastAsiaTheme="minorEastAsia" w:hAnsi="Garamond"/>
          <w:iCs/>
        </w:rPr>
        <w:t xml:space="preserve"> many similar problems involving </w:t>
      </w:r>
      <w:r w:rsidR="00AF5E3C">
        <w:rPr>
          <w:rFonts w:ascii="Garamond" w:eastAsiaTheme="minorEastAsia" w:hAnsi="Garamond"/>
          <w:iCs/>
        </w:rPr>
        <w:t xml:space="preserve">complex geometry </w:t>
      </w:r>
      <w:r w:rsidR="000A272D">
        <w:rPr>
          <w:rFonts w:ascii="Garamond" w:eastAsiaTheme="minorEastAsia" w:hAnsi="Garamond"/>
          <w:iCs/>
        </w:rPr>
        <w:t>CFD calculations.</w:t>
      </w:r>
    </w:p>
    <w:bookmarkEnd w:id="0"/>
    <w:p w14:paraId="6D9FA3D1" w14:textId="77777777" w:rsidR="000A272D" w:rsidRDefault="000A272D" w:rsidP="002C1081">
      <w:pPr>
        <w:jc w:val="both"/>
        <w:rPr>
          <w:rFonts w:ascii="Garamond" w:eastAsiaTheme="minorEastAsia" w:hAnsi="Garamond"/>
          <w:iCs/>
        </w:rPr>
      </w:pPr>
    </w:p>
    <w:p w14:paraId="205C6A09" w14:textId="77777777" w:rsidR="000A272D" w:rsidRPr="000A272D" w:rsidRDefault="000A272D" w:rsidP="002C1081">
      <w:pPr>
        <w:jc w:val="both"/>
        <w:rPr>
          <w:rFonts w:ascii="Garamond" w:eastAsiaTheme="minorEastAsia" w:hAnsi="Garamond"/>
          <w:b/>
          <w:iCs/>
        </w:rPr>
      </w:pPr>
    </w:p>
    <w:p w14:paraId="0CE5A80F" w14:textId="44C12481" w:rsidR="002C1081" w:rsidRDefault="002C1081" w:rsidP="002C1081"/>
    <w:sectPr w:rsidR="002C1081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A79D0" w14:textId="77777777" w:rsidR="00E41566" w:rsidRDefault="00E41566" w:rsidP="002C1081">
      <w:r>
        <w:separator/>
      </w:r>
    </w:p>
  </w:endnote>
  <w:endnote w:type="continuationSeparator" w:id="0">
    <w:p w14:paraId="62F479B1" w14:textId="77777777" w:rsidR="00E41566" w:rsidRDefault="00E41566" w:rsidP="002C1081">
      <w:r>
        <w:continuationSeparator/>
      </w:r>
    </w:p>
  </w:endnote>
  <w:endnote w:id="1">
    <w:p w14:paraId="4B037B5F" w14:textId="77777777" w:rsidR="002C1081" w:rsidRPr="00E2250D" w:rsidRDefault="002C1081" w:rsidP="002C1081">
      <w:pPr>
        <w:pStyle w:val="EndnoteText"/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</w:pPr>
      <w:r w:rsidRPr="00E2250D">
        <w:rPr>
          <w:rStyle w:val="EndnoteReference"/>
          <w:rFonts w:ascii="Garamond" w:hAnsi="Garamond"/>
          <w:color w:val="000000" w:themeColor="text1"/>
          <w:sz w:val="22"/>
          <w:szCs w:val="22"/>
        </w:rPr>
        <w:endnoteRef/>
      </w:r>
      <w:r w:rsidRPr="00E2250D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E2250D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 xml:space="preserve">Corral, D., Feaster, J., </w:t>
      </w:r>
      <w:proofErr w:type="spellStart"/>
      <w:r w:rsidRPr="00F51668">
        <w:rPr>
          <w:rFonts w:ascii="Garamond" w:eastAsia="Times New Roman" w:hAnsi="Garamond" w:cs="Arial"/>
          <w:b/>
          <w:bCs/>
          <w:color w:val="000000" w:themeColor="text1"/>
          <w:sz w:val="22"/>
          <w:szCs w:val="22"/>
          <w:shd w:val="clear" w:color="auto" w:fill="FFFFFF"/>
        </w:rPr>
        <w:t>Sobhani</w:t>
      </w:r>
      <w:proofErr w:type="spellEnd"/>
      <w:r w:rsidRPr="00F51668">
        <w:rPr>
          <w:rFonts w:ascii="Garamond" w:eastAsia="Times New Roman" w:hAnsi="Garamond" w:cs="Arial"/>
          <w:b/>
          <w:bCs/>
          <w:color w:val="000000" w:themeColor="text1"/>
          <w:sz w:val="22"/>
          <w:szCs w:val="22"/>
          <w:shd w:val="clear" w:color="auto" w:fill="FFFFFF"/>
        </w:rPr>
        <w:t>, S.</w:t>
      </w:r>
      <w:r w:rsidRPr="00E2250D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 xml:space="preserve"> et al. “Advanced Manufacturing for Electrochemical CO</w:t>
      </w:r>
      <w:r w:rsidRPr="00E2250D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  <w:vertAlign w:val="subscript"/>
        </w:rPr>
        <w:t>2</w:t>
      </w:r>
      <w:r w:rsidRPr="00E2250D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 xml:space="preserve"> Reduction to Multi-Carbon Products.” </w:t>
      </w:r>
      <w:r w:rsidRPr="00E2250D">
        <w:rPr>
          <w:rFonts w:ascii="Garamond" w:eastAsia="Times New Roman" w:hAnsi="Garamond" w:cs="Arial"/>
          <w:i/>
          <w:color w:val="000000" w:themeColor="text1"/>
          <w:sz w:val="22"/>
          <w:szCs w:val="22"/>
          <w:shd w:val="clear" w:color="auto" w:fill="FFFFFF"/>
        </w:rPr>
        <w:t>Under Review</w:t>
      </w:r>
      <w:r w:rsidRPr="00E2250D">
        <w:rPr>
          <w:rFonts w:ascii="Garamond" w:eastAsia="Times New Roman" w:hAnsi="Garamond" w:cs="Arial"/>
          <w:color w:val="000000" w:themeColor="text1"/>
          <w:sz w:val="22"/>
          <w:szCs w:val="22"/>
          <w:shd w:val="clear" w:color="auto" w:fill="FFFFFF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FAA6C" w14:textId="77777777" w:rsidR="00E41566" w:rsidRDefault="00E41566" w:rsidP="002C1081">
      <w:r>
        <w:separator/>
      </w:r>
    </w:p>
  </w:footnote>
  <w:footnote w:type="continuationSeparator" w:id="0">
    <w:p w14:paraId="10895BF5" w14:textId="77777777" w:rsidR="00E41566" w:rsidRDefault="00E41566" w:rsidP="002C1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A272D"/>
    <w:rsid w:val="00142A28"/>
    <w:rsid w:val="002C1081"/>
    <w:rsid w:val="002F5D1C"/>
    <w:rsid w:val="00622A5E"/>
    <w:rsid w:val="007A3375"/>
    <w:rsid w:val="008D468B"/>
    <w:rsid w:val="00AF5E3C"/>
    <w:rsid w:val="00D1010D"/>
    <w:rsid w:val="00E41566"/>
    <w:rsid w:val="00EE6E42"/>
    <w:rsid w:val="00E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C10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10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2C1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Saleh, Mohammad Sadeq</cp:lastModifiedBy>
  <cp:revision>2</cp:revision>
  <dcterms:created xsi:type="dcterms:W3CDTF">2021-01-15T15:10:00Z</dcterms:created>
  <dcterms:modified xsi:type="dcterms:W3CDTF">2021-01-15T15:10:00Z</dcterms:modified>
</cp:coreProperties>
</file>