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widowControl w:val="false"/>
        <w:tabs>
          <w:tab w:val="left" w:pos="5040" w:leader="none"/>
          <w:tab w:val="left" w:pos="7200" w:leader="none"/>
        </w:tabs>
        <w:ind w:left="5760" w:hanging="5760"/>
        <w:rPr>
          <w:rStyle w:val="Aucun"/>
          <w:color w:val="231F20"/>
          <w:sz w:val="18"/>
          <w:szCs w:val="18"/>
          <w:u w:val="none" w:color="231F20"/>
        </w:rPr>
      </w:pPr>
      <w:r>
        <w:rPr>
          <w:rStyle w:val="Aucun"/>
          <w:color w:val="231F20"/>
          <w:sz w:val="18"/>
          <w:szCs w:val="18"/>
          <w:u w:val="none" w:color="231F20"/>
          <w:lang w:val="en-US"/>
        </w:rPr>
        <w:tab/>
        <w:tab/>
        <w:tab/>
      </w:r>
    </w:p>
    <w:p>
      <w:pPr>
        <w:pStyle w:val="Corps"/>
        <w:widowControl w:val="false"/>
        <w:jc w:val="center"/>
        <w:rPr>
          <w:b/>
          <w:b/>
          <w:bCs/>
          <w:caps/>
          <w:color w:val="231F20"/>
          <w:sz w:val="28"/>
          <w:szCs w:val="28"/>
          <w:u w:val="none" w:color="231F20"/>
        </w:rPr>
      </w:pPr>
      <w:r>
        <w:rPr>
          <w:b/>
          <w:bCs/>
          <w:caps/>
          <w:color w:val="231F20"/>
          <w:sz w:val="28"/>
          <w:szCs w:val="28"/>
          <w:u w:val="none" w:color="231F20"/>
        </w:rPr>
      </w:r>
    </w:p>
    <w:p>
      <w:pPr>
        <w:pStyle w:val="Corps"/>
        <w:widowControl w:val="false"/>
        <w:jc w:val="center"/>
        <w:rPr>
          <w:b/>
          <w:b/>
          <w:bCs/>
          <w:color w:val="231F20"/>
          <w:sz w:val="28"/>
          <w:szCs w:val="28"/>
          <w:u w:val="none" w:color="231F20"/>
        </w:rPr>
      </w:pPr>
      <w:r>
        <w:rPr>
          <w:b/>
          <w:bCs/>
          <w:color w:val="231F20"/>
          <w:sz w:val="28"/>
          <w:szCs w:val="28"/>
          <w:u w:val="none" w:color="231F20"/>
        </w:rPr>
      </w:r>
    </w:p>
    <w:p>
      <w:pPr>
        <w:pStyle w:val="Corps"/>
        <w:widowControl w:val="false"/>
        <w:jc w:val="center"/>
        <w:rPr/>
      </w:pPr>
      <w:r>
        <w:rPr>
          <w:b/>
          <w:bCs/>
          <w:color w:val="231F20"/>
          <w:sz w:val="28"/>
          <w:szCs w:val="28"/>
          <w:u w:val="none" w:color="231F20"/>
          <w:lang w:val="en-US"/>
        </w:rPr>
        <w:t xml:space="preserve">Molecular dynamics study of methane diffusion in flexible microporosity of source rock’s organic matter </w:t>
      </w:r>
    </w:p>
    <w:p>
      <w:pPr>
        <w:pStyle w:val="Corps"/>
        <w:widowControl w:val="false"/>
        <w:jc w:val="center"/>
        <w:rPr>
          <w:b/>
          <w:b/>
          <w:bCs/>
          <w:color w:val="231F20"/>
          <w:sz w:val="20"/>
          <w:szCs w:val="20"/>
          <w:u w:val="none" w:color="231F20"/>
          <w:lang w:val="en-US"/>
        </w:rPr>
      </w:pPr>
      <w:r>
        <w:rPr>
          <w:b/>
          <w:bCs/>
          <w:color w:val="231F20"/>
          <w:sz w:val="20"/>
          <w:szCs w:val="20"/>
          <w:u w:val="none" w:color="231F20"/>
          <w:lang w:val="en-US"/>
        </w:rPr>
      </w:r>
    </w:p>
    <w:p>
      <w:pPr>
        <w:pStyle w:val="Corps"/>
        <w:widowControl w:val="false"/>
        <w:jc w:val="center"/>
        <w:rPr/>
      </w:pPr>
      <w:r>
        <w:rPr>
          <w:rStyle w:val="Aucun"/>
          <w:color w:val="231F20"/>
          <w:sz w:val="20"/>
          <w:szCs w:val="20"/>
          <w:u w:val="single" w:color="231F20"/>
          <w:lang w:val="da-DK"/>
        </w:rPr>
        <w:t>Kristina Ariskina</w:t>
      </w:r>
      <w:r>
        <w:rPr>
          <w:rStyle w:val="Aucun"/>
          <w:color w:val="231F20"/>
          <w:sz w:val="20"/>
          <w:szCs w:val="20"/>
          <w:u w:val="none" w:color="231F20"/>
          <w:lang w:val="da-DK"/>
        </w:rPr>
        <w:t>, Guillaume Galliero, A</w:t>
      </w:r>
      <w:r>
        <w:rPr>
          <w:rStyle w:val="Aucun"/>
          <w:color w:val="231F20"/>
          <w:sz w:val="20"/>
          <w:szCs w:val="20"/>
          <w:u w:val="none" w:color="231F20"/>
        </w:rPr>
        <w:t>maël</w:t>
      </w:r>
      <w:r>
        <w:rPr>
          <w:rStyle w:val="Aucun"/>
          <w:color w:val="231F20"/>
          <w:sz w:val="20"/>
          <w:szCs w:val="20"/>
          <w:u w:val="none" w:color="231F20"/>
          <w:lang w:val="da-DK"/>
        </w:rPr>
        <w:t xml:space="preserve"> Obliger</w:t>
      </w:r>
    </w:p>
    <w:p>
      <w:pPr>
        <w:pStyle w:val="NormalWeb"/>
        <w:spacing w:lineRule="auto" w:line="144" w:before="100" w:after="0"/>
        <w:jc w:val="center"/>
        <w:rPr/>
      </w:pPr>
      <w:r>
        <w:rPr>
          <w:rStyle w:val="Aucun"/>
          <w:color w:val="231F20"/>
          <w:sz w:val="20"/>
          <w:szCs w:val="20"/>
          <w:u w:val="none" w:color="231F20"/>
        </w:rPr>
        <w:t xml:space="preserve">Laboratoire des Fluides Complexes et leurs Réservoirs, UMR 5150, </w:t>
      </w:r>
    </w:p>
    <w:p>
      <w:pPr>
        <w:pStyle w:val="NormalWeb"/>
        <w:spacing w:lineRule="auto" w:line="144" w:before="100" w:after="0"/>
        <w:jc w:val="center"/>
        <w:rPr/>
      </w:pPr>
      <w:r>
        <w:rPr>
          <w:rStyle w:val="Aucun"/>
          <w:color w:val="231F20"/>
          <w:sz w:val="20"/>
          <w:szCs w:val="20"/>
          <w:u w:val="none" w:color="231F20"/>
        </w:rPr>
        <w:t xml:space="preserve">E2S </w:t>
      </w:r>
      <w:r>
        <w:rPr>
          <w:rStyle w:val="Aucun"/>
          <w:color w:val="231F20"/>
          <w:sz w:val="20"/>
          <w:szCs w:val="20"/>
          <w:u w:val="none" w:color="231F20"/>
        </w:rPr>
        <w:t xml:space="preserve">UPPA, </w:t>
      </w:r>
      <w:r>
        <w:rPr>
          <w:rStyle w:val="Aucun"/>
          <w:color w:val="231F20"/>
          <w:sz w:val="20"/>
          <w:szCs w:val="20"/>
          <w:u w:val="none" w:color="231F20"/>
        </w:rPr>
        <w:t xml:space="preserve">Université de Pau et des Pays de l'Adour/Total/CNRS, </w:t>
      </w:r>
      <w:r>
        <w:rPr>
          <w:rStyle w:val="Aucun"/>
          <w:color w:val="231F20"/>
          <w:sz w:val="20"/>
          <w:szCs w:val="20"/>
          <w:u w:val="none" w:color="231F20"/>
        </w:rPr>
        <w:t>Pau, France</w:t>
      </w:r>
      <w:r>
        <w:rPr>
          <w:rStyle w:val="Aucun"/>
          <w:color w:val="231F20"/>
          <w:sz w:val="20"/>
          <w:szCs w:val="20"/>
          <w:u w:val="none" w:color="231F20"/>
        </w:rPr>
        <w:t>.</w:t>
      </w:r>
    </w:p>
    <w:p>
      <w:pPr>
        <w:pStyle w:val="Corps"/>
        <w:widowControl w:val="false"/>
        <w:jc w:val="center"/>
        <w:rPr>
          <w:rStyle w:val="Aucun"/>
          <w:color w:val="231F20"/>
          <w:sz w:val="20"/>
          <w:szCs w:val="20"/>
          <w:u w:val="none" w:color="231F20"/>
          <w:vertAlign w:val="superscript"/>
        </w:rPr>
      </w:pPr>
      <w:r>
        <w:rPr>
          <w:color w:val="231F20"/>
          <w:sz w:val="20"/>
          <w:szCs w:val="20"/>
          <w:u w:val="none" w:color="231F20"/>
          <w:vertAlign w:val="superscript"/>
        </w:rPr>
      </w:r>
    </w:p>
    <w:p>
      <w:pPr>
        <w:pStyle w:val="Corps"/>
        <w:widowControl w:val="false"/>
        <w:jc w:val="center"/>
        <w:rPr>
          <w:rStyle w:val="Aucun"/>
          <w:color w:val="231F20"/>
          <w:sz w:val="20"/>
          <w:szCs w:val="20"/>
          <w:u w:val="none" w:color="231F20"/>
        </w:rPr>
      </w:pPr>
      <w:r>
        <w:rPr>
          <w:color w:val="231F20"/>
          <w:sz w:val="20"/>
          <w:szCs w:val="20"/>
          <w:u w:val="none" w:color="231F20"/>
        </w:rPr>
      </w:r>
    </w:p>
    <w:p>
      <w:pPr>
        <w:pStyle w:val="Corps"/>
        <w:widowControl w:val="false"/>
        <w:jc w:val="both"/>
        <w:rPr/>
      </w:pPr>
      <w:r>
        <w:rPr>
          <w:rStyle w:val="Aucun"/>
          <w:rFonts w:ascii="Times New Roman" w:hAnsi="Times New Roman"/>
          <w:sz w:val="20"/>
          <w:szCs w:val="20"/>
        </w:rPr>
        <w:t xml:space="preserve">    </w:t>
      </w:r>
      <w:r>
        <w:rPr>
          <w:rStyle w:val="Aucun"/>
          <w:rFonts w:ascii="Times New Roman" w:hAnsi="Times New Roman"/>
          <w:sz w:val="20"/>
          <w:szCs w:val="20"/>
          <w:lang w:val="en-US"/>
        </w:rPr>
        <w:t xml:space="preserve">Over the last decades shale gas production from deep rock formations has become increasingly important in </w:t>
      </w:r>
      <w:r>
        <w:rPr>
          <w:rStyle w:val="Aucun"/>
          <w:rFonts w:ascii="Times New Roman" w:hAnsi="Times New Roman"/>
          <w:sz w:val="20"/>
          <w:szCs w:val="20"/>
          <w:lang w:val="en-US"/>
        </w:rPr>
        <w:t>the</w:t>
      </w:r>
      <w:r>
        <w:rPr>
          <w:rStyle w:val="Aucun"/>
          <w:rFonts w:ascii="Times New Roman" w:hAnsi="Times New Roman"/>
          <w:sz w:val="20"/>
          <w:szCs w:val="20"/>
          <w:lang w:val="en-US"/>
        </w:rPr>
        <w:t xml:space="preserve"> gas industry. This has led to thorough examinations of fluid transport properties </w:t>
      </w:r>
      <w:r>
        <w:rPr>
          <w:rStyle w:val="Aucun"/>
          <w:rFonts w:ascii="Times New Roman" w:hAnsi="Times New Roman"/>
          <w:sz w:val="20"/>
          <w:szCs w:val="20"/>
          <w:lang w:val="en-US"/>
        </w:rPr>
        <w:t>by</w:t>
      </w:r>
      <w:r>
        <w:rPr>
          <w:rStyle w:val="Aucun"/>
          <w:rFonts w:ascii="Times New Roman" w:hAnsi="Times New Roman"/>
          <w:sz w:val="20"/>
          <w:szCs w:val="20"/>
          <w:lang w:val="en-US"/>
        </w:rPr>
        <w:t xml:space="preserve"> molecular dynamics simulations </w:t>
      </w:r>
      <w:r>
        <w:rPr>
          <w:rStyle w:val="Aucun"/>
          <w:rFonts w:ascii="Times New Roman" w:hAnsi="Times New Roman"/>
          <w:sz w:val="20"/>
          <w:szCs w:val="20"/>
          <w:lang w:val="en-US"/>
        </w:rPr>
        <w:t>in the organic part of the porous medium, such as those found in unconventional reservoirs, so called kerogen</w:t>
      </w:r>
      <w:r>
        <w:rPr>
          <w:rStyle w:val="Aucun"/>
          <w:rFonts w:ascii="Times New Roman" w:hAnsi="Times New Roman"/>
          <w:sz w:val="20"/>
          <w:szCs w:val="20"/>
          <w:lang w:val="en-US"/>
        </w:rPr>
        <w:t>. Most of these studies have been done by considering the microporous structure of kerogen as a rigid solid [1-3]. Howev</w:t>
      </w:r>
      <w:r>
        <w:rPr>
          <w:rStyle w:val="Aucun"/>
          <w:rFonts w:ascii="Times New Roman" w:hAnsi="Times New Roman"/>
          <w:color w:val="000000"/>
          <w:sz w:val="20"/>
          <w:szCs w:val="20"/>
          <w:lang w:val="en-US"/>
        </w:rPr>
        <w:t xml:space="preserve">er, a recent study [4] has revealed that accounting for the kerogen flexibility while investigating the hydrocarbon transport in an immature kerogen matrix could play a crucial role. Flexibility can lead to </w:t>
      </w:r>
      <w:r>
        <w:rPr>
          <w:rStyle w:val="Aucun"/>
          <w:rFonts w:ascii="Times New Roman" w:hAnsi="Times New Roman"/>
          <w:color w:val="000000"/>
          <w:sz w:val="20"/>
          <w:szCs w:val="20"/>
          <w:lang w:val="en-US"/>
        </w:rPr>
        <w:t>a</w:t>
      </w:r>
      <w:r>
        <w:rPr>
          <w:rStyle w:val="Aucun"/>
          <w:rFonts w:ascii="Times New Roman" w:hAnsi="Times New Roman"/>
          <w:color w:val="000000"/>
          <w:sz w:val="20"/>
          <w:szCs w:val="20"/>
          <w:lang w:val="en-US"/>
        </w:rPr>
        <w:t xml:space="preserve"> significant increase in </w:t>
      </w:r>
      <w:r>
        <w:rPr>
          <w:rStyle w:val="Aucun"/>
          <w:rFonts w:ascii="Times New Roman" w:hAnsi="Times New Roman"/>
          <w:color w:val="000000"/>
          <w:sz w:val="20"/>
          <w:szCs w:val="20"/>
          <w:lang w:val="en-US"/>
        </w:rPr>
        <w:t xml:space="preserve">the </w:t>
      </w:r>
      <w:r>
        <w:rPr>
          <w:rStyle w:val="Aucun"/>
          <w:rFonts w:ascii="Times New Roman" w:hAnsi="Times New Roman"/>
          <w:color w:val="000000"/>
          <w:sz w:val="20"/>
          <w:szCs w:val="20"/>
          <w:lang w:val="en-US"/>
        </w:rPr>
        <w:t>free volume due to the adsorption-induced swelling that inc</w:t>
      </w:r>
      <w:r>
        <w:rPr>
          <w:rStyle w:val="Aucun"/>
          <w:rFonts w:ascii="Times New Roman" w:hAnsi="Times New Roman"/>
          <w:color w:val="000000"/>
          <w:sz w:val="20"/>
          <w:szCs w:val="20"/>
          <w:lang w:val="en-US"/>
        </w:rPr>
        <w:t>r</w:t>
      </w:r>
      <w:r>
        <w:rPr>
          <w:rStyle w:val="Aucun"/>
          <w:rFonts w:ascii="Times New Roman" w:hAnsi="Times New Roman"/>
          <w:color w:val="000000"/>
          <w:sz w:val="20"/>
          <w:szCs w:val="20"/>
          <w:lang w:val="en-US"/>
        </w:rPr>
        <w:t xml:space="preserve">eases fluid transport when the fluid loading increases, as opposed to </w:t>
      </w:r>
      <w:r>
        <w:rPr>
          <w:rStyle w:val="Aucun"/>
          <w:rFonts w:ascii="Times New Roman" w:hAnsi="Times New Roman"/>
          <w:color w:val="000000"/>
          <w:sz w:val="20"/>
          <w:szCs w:val="20"/>
          <w:lang w:val="en-US"/>
        </w:rPr>
        <w:t xml:space="preserve">what found in </w:t>
      </w:r>
      <w:r>
        <w:rPr>
          <w:rStyle w:val="Aucun"/>
          <w:rFonts w:ascii="Times New Roman" w:hAnsi="Times New Roman"/>
          <w:color w:val="000000"/>
          <w:sz w:val="20"/>
          <w:szCs w:val="20"/>
          <w:lang w:val="en-US"/>
        </w:rPr>
        <w:t xml:space="preserve">the rigid case. This study has only been performed for a few </w:t>
      </w:r>
      <w:r>
        <w:rPr>
          <w:rStyle w:val="Aucun"/>
          <w:rFonts w:ascii="Times New Roman" w:hAnsi="Times New Roman"/>
          <w:color w:val="000000"/>
          <w:sz w:val="20"/>
          <w:szCs w:val="20"/>
          <w:lang w:val="en-US"/>
        </w:rPr>
        <w:t>set of thermodynamics</w:t>
      </w:r>
      <w:r>
        <w:rPr>
          <w:rStyle w:val="Aucun"/>
          <w:rFonts w:ascii="Times New Roman" w:hAnsi="Times New Roman"/>
          <w:color w:val="000000"/>
          <w:sz w:val="20"/>
          <w:szCs w:val="20"/>
          <w:lang w:val="en-US"/>
        </w:rPr>
        <w:t xml:space="preserve"> conditions and collective diffusion has not been studied yet. All this call</w:t>
      </w:r>
      <w:r>
        <w:rPr>
          <w:rStyle w:val="Aucun"/>
          <w:rFonts w:ascii="Times New Roman" w:hAnsi="Times New Roman"/>
          <w:sz w:val="20"/>
          <w:szCs w:val="20"/>
          <w:lang w:val="en-US"/>
        </w:rPr>
        <w:t xml:space="preserve">s for the need of in-depth studies of the flexibility effects </w:t>
      </w:r>
      <w:r>
        <w:rPr>
          <w:rStyle w:val="Aucun"/>
          <w:rFonts w:ascii="Times New Roman" w:hAnsi="Times New Roman"/>
          <w:sz w:val="20"/>
          <w:szCs w:val="20"/>
          <w:lang w:val="en-US"/>
        </w:rPr>
        <w:t>on transport properties in immature kerogen</w:t>
      </w:r>
      <w:r>
        <w:rPr>
          <w:rStyle w:val="Aucun"/>
          <w:rFonts w:ascii="Times New Roman" w:hAnsi="Times New Roman"/>
          <w:sz w:val="20"/>
          <w:szCs w:val="20"/>
          <w:lang w:val="en-US"/>
        </w:rPr>
        <w:t xml:space="preserve">. </w:t>
      </w:r>
      <w:r>
        <w:rPr>
          <w:rStyle w:val="Aucun"/>
          <w:rFonts w:ascii="Times New Roman" w:hAnsi="Times New Roman"/>
          <w:sz w:val="20"/>
          <w:szCs w:val="20"/>
          <w:lang w:val="en-US"/>
        </w:rPr>
        <w:t>Thus, i</w:t>
      </w:r>
      <w:r>
        <w:rPr>
          <w:rStyle w:val="Aucun"/>
          <w:rFonts w:ascii="Times New Roman" w:hAnsi="Times New Roman"/>
          <w:sz w:val="20"/>
          <w:szCs w:val="20"/>
          <w:lang w:val="en-US"/>
        </w:rPr>
        <w:t xml:space="preserve">n this work methane diffusion </w:t>
      </w:r>
      <w:r>
        <w:rPr>
          <w:rStyle w:val="Aucun"/>
          <w:rFonts w:ascii="Times New Roman" w:hAnsi="Times New Roman"/>
          <w:sz w:val="20"/>
          <w:szCs w:val="20"/>
          <w:lang w:val="en-US"/>
        </w:rPr>
        <w:t>in kerogen</w:t>
      </w:r>
      <w:r>
        <w:rPr>
          <w:rStyle w:val="Aucun"/>
          <w:rFonts w:ascii="Times New Roman" w:hAnsi="Times New Roman"/>
          <w:sz w:val="20"/>
          <w:szCs w:val="20"/>
          <w:lang w:val="en-US"/>
        </w:rPr>
        <w:t xml:space="preserve"> for a wide range of conditions (pressure, temperature) and fluid loading is investigated. It is proven that the collective effect on fluid transport through a deformable matrix of kerogen can be neglected. It is also shown that the trend of diffusion coefficient increase</w:t>
      </w:r>
      <w:r>
        <w:rPr>
          <w:rStyle w:val="Aucun"/>
          <w:rFonts w:ascii="Times New Roman" w:hAnsi="Times New Roman"/>
          <w:sz w:val="20"/>
          <w:szCs w:val="20"/>
          <w:lang w:val="en-US"/>
        </w:rPr>
        <w:t>s</w:t>
      </w:r>
      <w:r>
        <w:rPr>
          <w:rStyle w:val="Aucun"/>
          <w:rFonts w:ascii="Times New Roman" w:hAnsi="Times New Roman"/>
          <w:sz w:val="20"/>
          <w:szCs w:val="20"/>
          <w:lang w:val="en-US"/>
        </w:rPr>
        <w:t xml:space="preserve"> via fluid loading can be well captured using free volume scaling. Furthermore, we have started studying the carbon dioxide diffusion in the kerogen matrix. These results contribute to the investigation of fluid transport properties in such microporous </w:t>
      </w:r>
      <w:r>
        <w:rPr>
          <w:rStyle w:val="Aucun"/>
          <w:rFonts w:ascii="Times New Roman" w:hAnsi="Times New Roman"/>
          <w:sz w:val="20"/>
          <w:szCs w:val="20"/>
          <w:lang w:val="en-US"/>
        </w:rPr>
        <w:t>medium</w:t>
      </w:r>
      <w:r>
        <w:rPr>
          <w:rStyle w:val="Aucun"/>
          <w:rFonts w:ascii="Times New Roman" w:hAnsi="Times New Roman"/>
          <w:sz w:val="20"/>
          <w:szCs w:val="20"/>
          <w:lang w:val="en-US"/>
        </w:rPr>
        <w:t xml:space="preserve"> and will be extended to study transport of carbon dioxide and methane mixtures in </w:t>
      </w:r>
      <w:r>
        <w:rPr>
          <w:rStyle w:val="Aucun"/>
          <w:rFonts w:ascii="Times New Roman" w:hAnsi="Times New Roman"/>
          <w:sz w:val="20"/>
          <w:szCs w:val="20"/>
          <w:lang w:val="en-US"/>
        </w:rPr>
        <w:t>a</w:t>
      </w:r>
      <w:r>
        <w:rPr>
          <w:rStyle w:val="Aucun"/>
          <w:rFonts w:ascii="Times New Roman" w:hAnsi="Times New Roman"/>
          <w:sz w:val="20"/>
          <w:szCs w:val="20"/>
          <w:lang w:val="en-US"/>
        </w:rPr>
        <w:t xml:space="preserve"> near future</w:t>
      </w:r>
      <w:bookmarkStart w:id="0" w:name="_GoBack"/>
      <w:bookmarkEnd w:id="0"/>
      <w:r>
        <w:rPr>
          <w:rStyle w:val="Aucun"/>
          <w:rFonts w:ascii="Times New Roman" w:hAnsi="Times New Roman"/>
          <w:sz w:val="20"/>
          <w:szCs w:val="20"/>
          <w:lang w:val="en-US"/>
        </w:rPr>
        <w:t>.</w:t>
      </w:r>
    </w:p>
    <w:p>
      <w:pPr>
        <w:pStyle w:val="Corps"/>
        <w:widowControl w:val="false"/>
        <w:jc w:val="both"/>
        <w:rPr>
          <w:rStyle w:val="Aucun"/>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p>
      <w:pPr>
        <w:pStyle w:val="Corps"/>
        <w:widowControl w:val="false"/>
        <w:jc w:val="both"/>
        <w:rPr>
          <w:rStyle w:val="Aucun"/>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p>
      <w:pPr>
        <w:pStyle w:val="Corps"/>
        <w:widowControl w:val="false"/>
        <w:rPr>
          <w:rStyle w:val="Aucun"/>
          <w:b/>
          <w:b/>
          <w:bCs/>
          <w:color w:val="231F20"/>
          <w:sz w:val="20"/>
          <w:szCs w:val="20"/>
          <w:u w:val="none" w:color="231F20"/>
          <w:lang w:val="en-US"/>
        </w:rPr>
      </w:pPr>
      <w:r>
        <w:rPr>
          <w:rStyle w:val="Aucun"/>
          <w:b/>
          <w:bCs/>
          <w:color w:val="231F20"/>
          <w:sz w:val="20"/>
          <w:szCs w:val="20"/>
          <w:u w:val="none" w:color="231F20"/>
          <w:lang w:val="en-US"/>
        </w:rPr>
        <w:t>References</w:t>
      </w:r>
    </w:p>
    <w:p>
      <w:pPr>
        <w:pStyle w:val="Corps"/>
        <w:widowControl w:val="false"/>
        <w:jc w:val="both"/>
        <w:rPr>
          <w:rStyle w:val="Aucun"/>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p>
      <w:pPr>
        <w:pStyle w:val="Corps"/>
        <w:widowControl w:val="false"/>
        <w:jc w:val="both"/>
        <w:rPr/>
      </w:pPr>
      <w:r>
        <w:rPr>
          <w:rStyle w:val="Aucun"/>
          <w:rFonts w:ascii="Times New Roman" w:hAnsi="Times New Roman"/>
          <w:sz w:val="20"/>
          <w:szCs w:val="20"/>
          <w:lang w:val="en-US"/>
        </w:rPr>
        <w:t xml:space="preserve">[1] J. Collell </w:t>
      </w:r>
      <w:r>
        <w:rPr>
          <w:rStyle w:val="Aucun"/>
          <w:rFonts w:ascii="Times New Roman" w:hAnsi="Times New Roman"/>
          <w:i/>
          <w:iCs/>
          <w:sz w:val="20"/>
          <w:szCs w:val="20"/>
          <w:lang w:val="en-US"/>
        </w:rPr>
        <w:t>et al.</w:t>
      </w:r>
      <w:r>
        <w:rPr>
          <w:rStyle w:val="Aucun"/>
          <w:rFonts w:ascii="Times New Roman" w:hAnsi="Times New Roman"/>
          <w:sz w:val="20"/>
          <w:szCs w:val="20"/>
          <w:lang w:val="en-US"/>
        </w:rPr>
        <w:t>, Energy &amp; Fuels</w:t>
      </w:r>
      <w:r>
        <w:rPr>
          <w:rStyle w:val="Aucun"/>
          <w:rFonts w:ascii="Times New Roman" w:hAnsi="Times New Roman"/>
          <w:sz w:val="20"/>
          <w:szCs w:val="20"/>
          <w:lang w:val="nl-NL"/>
        </w:rPr>
        <w:t>,</w:t>
      </w:r>
      <w:r>
        <w:rPr>
          <w:rStyle w:val="Aucun"/>
          <w:rFonts w:ascii="Times New Roman" w:hAnsi="Times New Roman"/>
          <w:i/>
          <w:iCs/>
          <w:sz w:val="20"/>
          <w:szCs w:val="20"/>
          <w:lang w:val="en-US"/>
        </w:rPr>
        <w:t xml:space="preserve"> 28</w:t>
      </w:r>
      <w:r>
        <w:rPr>
          <w:rStyle w:val="Aucun"/>
          <w:rFonts w:ascii="Times New Roman" w:hAnsi="Times New Roman"/>
          <w:sz w:val="20"/>
          <w:szCs w:val="20"/>
          <w:lang w:val="en-US"/>
        </w:rPr>
        <w:t>(12):7457–7466, 2014.</w:t>
      </w:r>
    </w:p>
    <w:p>
      <w:pPr>
        <w:pStyle w:val="Corps"/>
        <w:widowControl w:val="false"/>
        <w:jc w:val="both"/>
        <w:rPr/>
      </w:pPr>
      <w:r>
        <w:rPr>
          <w:rStyle w:val="Aucun"/>
          <w:rFonts w:ascii="Times New Roman" w:hAnsi="Times New Roman"/>
          <w:sz w:val="20"/>
          <w:szCs w:val="20"/>
          <w:lang w:val="en-US"/>
        </w:rPr>
        <w:t xml:space="preserve">[2] K. Falk </w:t>
      </w:r>
      <w:r>
        <w:rPr>
          <w:rStyle w:val="Aucun"/>
          <w:rFonts w:ascii="Times New Roman" w:hAnsi="Times New Roman"/>
          <w:i/>
          <w:iCs/>
          <w:sz w:val="20"/>
          <w:szCs w:val="20"/>
          <w:lang w:val="en-US"/>
        </w:rPr>
        <w:t>et al.</w:t>
      </w:r>
      <w:r>
        <w:rPr>
          <w:rStyle w:val="Aucun"/>
          <w:rFonts w:ascii="Times New Roman" w:hAnsi="Times New Roman"/>
          <w:sz w:val="20"/>
          <w:szCs w:val="20"/>
          <w:lang w:val="en-US"/>
        </w:rPr>
        <w:t>, Nature communications</w:t>
      </w:r>
      <w:r>
        <w:rPr>
          <w:rStyle w:val="Aucun"/>
          <w:rFonts w:ascii="Times New Roman" w:hAnsi="Times New Roman"/>
          <w:sz w:val="20"/>
          <w:szCs w:val="20"/>
          <w:lang w:val="nl-NL"/>
        </w:rPr>
        <w:t>,</w:t>
      </w:r>
      <w:r>
        <w:rPr>
          <w:rStyle w:val="Aucun"/>
          <w:rFonts w:ascii="Times New Roman" w:hAnsi="Times New Roman"/>
          <w:i/>
          <w:iCs/>
          <w:sz w:val="20"/>
          <w:szCs w:val="20"/>
          <w:lang w:val="en-US"/>
        </w:rPr>
        <w:t xml:space="preserve"> 6</w:t>
      </w:r>
      <w:r>
        <w:rPr>
          <w:rStyle w:val="Aucun"/>
          <w:rFonts w:ascii="Times New Roman" w:hAnsi="Times New Roman"/>
          <w:sz w:val="20"/>
          <w:szCs w:val="20"/>
          <w:lang w:val="en-US"/>
        </w:rPr>
        <w:t>:6949, 2015.</w:t>
      </w:r>
    </w:p>
    <w:p>
      <w:pPr>
        <w:pStyle w:val="Corps"/>
        <w:widowControl w:val="false"/>
        <w:jc w:val="both"/>
        <w:rPr/>
      </w:pPr>
      <w:r>
        <w:rPr>
          <w:rStyle w:val="Aucun"/>
          <w:rFonts w:ascii="Times New Roman" w:hAnsi="Times New Roman"/>
          <w:sz w:val="20"/>
          <w:szCs w:val="20"/>
          <w:lang w:val="pt-PT"/>
        </w:rPr>
        <w:t xml:space="preserve">[3] </w:t>
      </w:r>
      <w:r>
        <w:rPr>
          <w:rStyle w:val="Aucun"/>
          <w:rFonts w:ascii="Times New Roman" w:hAnsi="Times New Roman"/>
          <w:sz w:val="20"/>
          <w:szCs w:val="20"/>
          <w:lang w:val="en-US"/>
        </w:rPr>
        <w:t xml:space="preserve">A. Obliger </w:t>
      </w:r>
      <w:r>
        <w:rPr>
          <w:rStyle w:val="Aucun"/>
          <w:rFonts w:ascii="Times New Roman" w:hAnsi="Times New Roman"/>
          <w:i/>
          <w:iCs/>
          <w:sz w:val="20"/>
          <w:szCs w:val="20"/>
          <w:lang w:val="nl-NL"/>
        </w:rPr>
        <w:t>et al.</w:t>
      </w:r>
      <w:r>
        <w:rPr>
          <w:rStyle w:val="Aucun"/>
          <w:rFonts w:ascii="Times New Roman" w:hAnsi="Times New Roman"/>
          <w:sz w:val="20"/>
          <w:szCs w:val="20"/>
          <w:lang w:val="en-US"/>
        </w:rPr>
        <w:t>, Nano Letters,</w:t>
      </w:r>
      <w:r>
        <w:rPr>
          <w:rStyle w:val="Aucun"/>
          <w:rFonts w:ascii="Times New Roman" w:hAnsi="Times New Roman"/>
          <w:i/>
          <w:iCs/>
          <w:sz w:val="20"/>
          <w:szCs w:val="20"/>
          <w:lang w:val="en-US"/>
        </w:rPr>
        <w:t xml:space="preserve"> 18</w:t>
      </w:r>
      <w:r>
        <w:rPr>
          <w:rStyle w:val="Aucun"/>
          <w:rFonts w:ascii="Times New Roman" w:hAnsi="Times New Roman"/>
          <w:sz w:val="20"/>
          <w:szCs w:val="20"/>
          <w:lang w:val="en-US"/>
        </w:rPr>
        <w:t>(2):832–837, 2018.</w:t>
      </w:r>
    </w:p>
    <w:p>
      <w:pPr>
        <w:pStyle w:val="Corps"/>
        <w:widowControl w:val="false"/>
        <w:jc w:val="both"/>
        <w:rPr/>
      </w:pPr>
      <w:r>
        <w:rPr>
          <w:rStyle w:val="Aucun"/>
          <w:rFonts w:ascii="Times New Roman" w:hAnsi="Times New Roman"/>
          <w:sz w:val="20"/>
          <w:szCs w:val="20"/>
          <w:lang w:val="pt-PT"/>
        </w:rPr>
        <w:t xml:space="preserve">[4] </w:t>
      </w:r>
      <w:r>
        <w:rPr>
          <w:rStyle w:val="Aucun"/>
          <w:rFonts w:ascii="Times New Roman" w:hAnsi="Times New Roman"/>
          <w:sz w:val="20"/>
          <w:szCs w:val="20"/>
          <w:lang w:val="en-US"/>
        </w:rPr>
        <w:t xml:space="preserve">A. Obliger </w:t>
      </w:r>
      <w:r>
        <w:rPr>
          <w:rStyle w:val="Aucun"/>
          <w:rFonts w:ascii="Times New Roman" w:hAnsi="Times New Roman"/>
          <w:i/>
          <w:iCs/>
          <w:sz w:val="20"/>
          <w:szCs w:val="20"/>
          <w:lang w:val="nl-NL"/>
        </w:rPr>
        <w:t>et al.</w:t>
      </w:r>
      <w:r>
        <w:rPr>
          <w:rStyle w:val="Aucun"/>
          <w:rFonts w:ascii="Times New Roman" w:hAnsi="Times New Roman"/>
          <w:sz w:val="20"/>
          <w:szCs w:val="20"/>
          <w:lang w:val="en-US"/>
        </w:rPr>
        <w:t>, Journal of Physical Chemistry B,</w:t>
      </w:r>
      <w:r>
        <w:rPr>
          <w:rStyle w:val="Aucun"/>
          <w:rFonts w:ascii="Times New Roman" w:hAnsi="Times New Roman"/>
          <w:i/>
          <w:iCs/>
          <w:sz w:val="20"/>
          <w:szCs w:val="20"/>
          <w:lang w:val="en-US"/>
        </w:rPr>
        <w:t xml:space="preserve"> </w:t>
      </w:r>
      <w:r>
        <w:rPr>
          <w:rStyle w:val="Aucun"/>
          <w:rFonts w:ascii="Times New Roman" w:hAnsi="Times New Roman"/>
          <w:sz w:val="20"/>
          <w:szCs w:val="20"/>
          <w:lang w:val="en-US"/>
        </w:rPr>
        <w:t>123(26):5635–5640, 2019.</w:t>
      </w:r>
    </w:p>
    <w:p>
      <w:pPr>
        <w:pStyle w:val="Corps"/>
        <w:widowControl w:val="false"/>
        <w:jc w:val="both"/>
        <w:rPr>
          <w:rStyle w:val="Aucun"/>
          <w:rFonts w:ascii="Times New Roman" w:hAnsi="Times New Roman" w:eastAsia="Times New Roman" w:cs="Times New Roman"/>
          <w:sz w:val="20"/>
          <w:szCs w:val="20"/>
          <w:lang w:val="en-US"/>
        </w:rPr>
      </w:pPr>
      <w:r>
        <w:rPr>
          <w:rFonts w:eastAsia="Times New Roman" w:cs="Times New Roman" w:ascii="Times New Roman" w:hAnsi="Times New Roman"/>
          <w:sz w:val="20"/>
          <w:szCs w:val="20"/>
          <w:lang w:val="en-US"/>
        </w:rPr>
      </w:r>
    </w:p>
    <w:p>
      <w:pPr>
        <w:pStyle w:val="Corps"/>
        <w:widowControl w:val="false"/>
        <w:jc w:val="both"/>
        <w:rPr>
          <w:rStyle w:val="Aucun"/>
          <w:color w:val="231F20"/>
          <w:sz w:val="20"/>
          <w:szCs w:val="20"/>
          <w:u w:val="none" w:color="231F20"/>
        </w:rPr>
      </w:pPr>
      <w:r>
        <w:rPr>
          <w:color w:val="231F20"/>
          <w:sz w:val="20"/>
          <w:szCs w:val="20"/>
          <w:u w:val="none" w:color="231F20"/>
        </w:rPr>
      </w:r>
    </w:p>
    <w:p>
      <w:pPr>
        <w:pStyle w:val="Corps"/>
        <w:widowControl w:val="false"/>
        <w:rPr>
          <w:rStyle w:val="Aucun"/>
          <w:color w:val="231F20"/>
          <w:sz w:val="20"/>
          <w:szCs w:val="20"/>
          <w:u w:val="none" w:color="231F20"/>
        </w:rPr>
      </w:pPr>
      <w:r>
        <w:rPr>
          <w:color w:val="231F20"/>
          <w:sz w:val="20"/>
          <w:szCs w:val="20"/>
          <w:u w:val="none" w:color="231F20"/>
        </w:rPr>
      </w:r>
    </w:p>
    <w:p>
      <w:pPr>
        <w:pStyle w:val="Corps"/>
        <w:widowControl w:val="false"/>
        <w:rPr/>
      </w:pPr>
      <w:r>
        <w:rPr/>
      </w:r>
    </w:p>
    <w:p>
      <w:pPr>
        <w:pStyle w:val="Corps"/>
        <w:widowControl w:val="false"/>
        <w:jc w:val="center"/>
        <w:rPr>
          <w:rStyle w:val="Aucun"/>
          <w:color w:val="231F20"/>
          <w:u w:val="none" w:color="231F20"/>
        </w:rPr>
      </w:pPr>
      <w:r>
        <w:rPr>
          <w:color w:val="231F20"/>
          <w:u w:val="none" w:color="231F20"/>
        </w:rPr>
      </w:r>
    </w:p>
    <w:p>
      <w:pPr>
        <w:pStyle w:val="Corps"/>
        <w:widowControl w:val="fals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0"/>
        <w:szCs w:val="20"/>
        <w:lang w:val="fr-FR"/>
      </w:rPr>
    </w:pPr>
    <w:r>
      <w:rPr>
        <w:sz w:val="20"/>
        <w:szCs w:val="20"/>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Pr>
      <w:u w:val="single"/>
    </w:rPr>
  </w:style>
  <w:style w:type="character" w:styleId="Aucun" w:customStyle="1">
    <w:name w:val="Aucun"/>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
    <w:name w:val="Header"/>
    <w:basedOn w:val="Normal"/>
    <w:pPr>
      <w:tabs>
        <w:tab w:val="right" w:pos="9020" w:leader="none"/>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basedOn w:val="Normal"/>
    <w:pPr>
      <w:tabs>
        <w:tab w:val="center" w:pos="4536" w:leader="none"/>
        <w:tab w:val="right" w:pos="9072" w:leader="none"/>
      </w:tabs>
      <w:suppressAutoHyphens w:val="true"/>
    </w:pPr>
    <w:rPr>
      <w:rFonts w:ascii="Times" w:hAnsi="Times" w:cs="Arial Unicode MS"/>
      <w:color w:val="000000"/>
      <w:u w:val="none" w:color="000000"/>
    </w:rPr>
  </w:style>
  <w:style w:type="paragraph" w:styleId="Corps" w:customStyle="1">
    <w:name w:val="Corps"/>
    <w:qFormat/>
    <w:pPr>
      <w:widowControl/>
      <w:suppressAutoHyphens w:val="true"/>
      <w:bidi w:val="0"/>
      <w:jc w:val="left"/>
    </w:pPr>
    <w:rPr>
      <w:rFonts w:ascii="Times" w:hAnsi="Times" w:eastAsia="Arial Unicode MS" w:cs="Arial Unicode MS"/>
      <w:color w:val="000000"/>
      <w:kern w:val="0"/>
      <w:sz w:val="24"/>
      <w:szCs w:val="24"/>
      <w:u w:val="none" w:color="000000"/>
      <w:lang w:val="fr-FR" w:eastAsia="fr-FR" w:bidi="ar-SA"/>
      <w14:textOutline w14:w="0" w14:cap="flat" w14:cmpd="sng" w14:algn="ctr">
        <w14:noFill/>
        <w14:prstDash w14:val="solid"/>
        <w14:bevel/>
      </w14:textOutline>
    </w:rPr>
  </w:style>
  <w:style w:type="paragraph" w:styleId="NormalWeb">
    <w:name w:val="Normal (Web)"/>
    <w:qFormat/>
    <w:pPr>
      <w:widowControl/>
      <w:suppressAutoHyphens w:val="true"/>
      <w:bidi w:val="0"/>
      <w:spacing w:before="100" w:after="100"/>
      <w:jc w:val="left"/>
    </w:pPr>
    <w:rPr>
      <w:rFonts w:ascii="Times New Roman" w:hAnsi="Times New Roman" w:eastAsia="Arial Unicode MS" w:cs="Arial Unicode MS"/>
      <w:color w:val="000000"/>
      <w:kern w:val="0"/>
      <w:sz w:val="24"/>
      <w:szCs w:val="24"/>
      <w:u w:val="none" w:color="00000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rgbClr val="FFFFFF"/>
        </a:solidFill>
        <a:solidFill>
          <a:srgbClr val="FFFFFF"/>
        </a:solidFill>
        <a:solidFill>
          <a:srgbClr val="FFFFFF"/>
        </a:solidFill>
      </a:fillStyleLst>
      <a:lnStyleLst>
        <a:ln>
          <a:solidFill>
            <a:srgbClr val="000000"/>
          </a:solidFill>
        </a:ln>
        <a:ln>
          <a:solidFill>
            <a:srgbClr val="000000"/>
          </a:solidFill>
        </a:ln>
        <a:ln>
          <a:solidFill>
            <a:srgbClr val="000000"/>
          </a:solidFill>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rgbClr val="FFFFFF"/>
        </a:solidFill>
        <a:solidFill>
          <a:srgbClr val="FFFFFF"/>
        </a:solidFill>
        <a:solidFill>
          <a:srgbClr val="FFFFFF"/>
        </a:soli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LibreOffice/6.0.7.3$Linux_X86_64 LibreOffice_project/00m0$Build-3</Application>
  <Pages>1</Pages>
  <Words>363</Words>
  <Characters>1986</Characters>
  <CharactersWithSpaces>2345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2020-09-16T08:17:00Z</dcterms:created>
  <dc:creator>Microsoft Office User</dc:creator>
  <dc:description/>
  <dc:language>en-US</dc:language>
  <cp:lastModifiedBy/>
  <dcterms:modified xsi:type="dcterms:W3CDTF">2021-02-09T13:29:11Z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