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F5" w:rsidRDefault="00CD492B" w:rsidP="00BA7144">
      <w:pPr>
        <w:spacing w:after="0"/>
        <w:jc w:val="center"/>
        <w:rPr>
          <w:rFonts w:ascii="Arial" w:hAnsi="Arial" w:cs="Arial"/>
          <w:b/>
        </w:rPr>
      </w:pPr>
      <w:r w:rsidRPr="002E3AC2">
        <w:rPr>
          <w:rFonts w:ascii="Arial" w:hAnsi="Arial" w:cs="Arial"/>
          <w:b/>
        </w:rPr>
        <w:t xml:space="preserve">Characterization of wettability </w:t>
      </w:r>
      <w:r w:rsidR="00E82626" w:rsidRPr="002E3AC2">
        <w:rPr>
          <w:rFonts w:ascii="Arial" w:hAnsi="Arial" w:cs="Arial"/>
          <w:b/>
        </w:rPr>
        <w:t>control</w:t>
      </w:r>
      <w:r w:rsidRPr="002E3AC2">
        <w:rPr>
          <w:rFonts w:ascii="Arial" w:hAnsi="Arial" w:cs="Arial"/>
          <w:b/>
        </w:rPr>
        <w:t xml:space="preserve"> on dynamics of two pha</w:t>
      </w:r>
      <w:r w:rsidR="005C025E" w:rsidRPr="002E3AC2">
        <w:rPr>
          <w:rFonts w:ascii="Arial" w:hAnsi="Arial" w:cs="Arial"/>
          <w:b/>
        </w:rPr>
        <w:t>se flow in natural porous media</w:t>
      </w:r>
    </w:p>
    <w:p w:rsidR="000A3F88" w:rsidRPr="002E3AC2" w:rsidRDefault="000A3F88" w:rsidP="00BA7144">
      <w:pPr>
        <w:spacing w:after="0"/>
        <w:jc w:val="center"/>
        <w:rPr>
          <w:rFonts w:ascii="Arial" w:hAnsi="Arial" w:cs="Arial"/>
          <w:b/>
        </w:rPr>
      </w:pPr>
    </w:p>
    <w:p w:rsidR="003F211F" w:rsidRPr="002E3AC2" w:rsidRDefault="003F211F" w:rsidP="00BA7144">
      <w:pPr>
        <w:spacing w:after="0"/>
        <w:jc w:val="center"/>
        <w:rPr>
          <w:rFonts w:ascii="Arial" w:hAnsi="Arial" w:cs="Arial"/>
        </w:rPr>
      </w:pPr>
      <w:r w:rsidRPr="002E3AC2">
        <w:rPr>
          <w:rFonts w:ascii="Arial" w:hAnsi="Arial" w:cs="Arial"/>
        </w:rPr>
        <w:t>Sahar Bakhshian</w:t>
      </w:r>
      <w:r w:rsidR="00FC7C32" w:rsidRPr="00FC7C32">
        <w:rPr>
          <w:rFonts w:ascii="Arial" w:hAnsi="Arial" w:cs="Arial"/>
          <w:vertAlign w:val="superscript"/>
        </w:rPr>
        <w:t>1</w:t>
      </w:r>
      <w:r w:rsidRPr="002E3AC2">
        <w:rPr>
          <w:rFonts w:ascii="Arial" w:hAnsi="Arial" w:cs="Arial"/>
        </w:rPr>
        <w:t xml:space="preserve">, Harris </w:t>
      </w:r>
      <w:proofErr w:type="spellStart"/>
      <w:r w:rsidRPr="002E3AC2">
        <w:rPr>
          <w:rFonts w:ascii="Arial" w:hAnsi="Arial" w:cs="Arial"/>
        </w:rPr>
        <w:t>Sajjad</w:t>
      </w:r>
      <w:proofErr w:type="spellEnd"/>
      <w:r w:rsidRPr="002E3AC2">
        <w:rPr>
          <w:rFonts w:ascii="Arial" w:hAnsi="Arial" w:cs="Arial"/>
        </w:rPr>
        <w:t xml:space="preserve"> Rabbani</w:t>
      </w:r>
      <w:r w:rsidR="00FC7C32" w:rsidRPr="00FC7C32">
        <w:rPr>
          <w:rFonts w:ascii="Arial" w:hAnsi="Arial" w:cs="Arial"/>
          <w:vertAlign w:val="superscript"/>
        </w:rPr>
        <w:t>2</w:t>
      </w:r>
      <w:r w:rsidRPr="002E3AC2">
        <w:rPr>
          <w:rFonts w:ascii="Arial" w:hAnsi="Arial" w:cs="Arial"/>
        </w:rPr>
        <w:t>, Nima Shokri</w:t>
      </w:r>
      <w:r w:rsidR="00FC7C32" w:rsidRPr="00FC7C32">
        <w:rPr>
          <w:rFonts w:ascii="Arial" w:hAnsi="Arial" w:cs="Arial"/>
          <w:vertAlign w:val="superscript"/>
        </w:rPr>
        <w:t>3</w:t>
      </w:r>
    </w:p>
    <w:p w:rsidR="005C025E" w:rsidRPr="002E3AC2" w:rsidRDefault="005C025E" w:rsidP="00BA7144">
      <w:pPr>
        <w:spacing w:after="0"/>
        <w:jc w:val="both"/>
        <w:rPr>
          <w:rFonts w:ascii="Arial" w:hAnsi="Arial" w:cs="Arial"/>
          <w:b/>
        </w:rPr>
      </w:pPr>
    </w:p>
    <w:p w:rsidR="00FC7C32" w:rsidRDefault="003543C6" w:rsidP="00BA7144">
      <w:pPr>
        <w:spacing w:after="0"/>
        <w:jc w:val="both"/>
        <w:rPr>
          <w:rFonts w:ascii="Arial" w:hAnsi="Arial" w:cs="Arial"/>
        </w:rPr>
      </w:pPr>
      <w:r w:rsidRPr="003543C6">
        <w:rPr>
          <w:rFonts w:ascii="Arial" w:hAnsi="Arial" w:cs="Arial"/>
          <w:vertAlign w:val="superscript"/>
        </w:rPr>
        <w:t>1</w:t>
      </w:r>
      <w:r w:rsidRPr="003543C6">
        <w:rPr>
          <w:rFonts w:ascii="Arial" w:hAnsi="Arial" w:cs="Arial"/>
        </w:rPr>
        <w:t>Bureau of Economic Geology, Jackson School of Geosciences, The University of Texas at Austin, Austin, TX, USA</w:t>
      </w:r>
    </w:p>
    <w:p w:rsidR="003543C6" w:rsidRDefault="003543C6" w:rsidP="00BA7144">
      <w:pPr>
        <w:spacing w:after="0"/>
        <w:jc w:val="both"/>
        <w:rPr>
          <w:rFonts w:ascii="Arial" w:hAnsi="Arial" w:cs="Arial"/>
        </w:rPr>
      </w:pPr>
      <w:r w:rsidRPr="003543C6">
        <w:rPr>
          <w:rFonts w:ascii="Arial" w:hAnsi="Arial" w:cs="Arial"/>
          <w:vertAlign w:val="superscript"/>
        </w:rPr>
        <w:t>2</w:t>
      </w:r>
      <w:r w:rsidRPr="003543C6">
        <w:rPr>
          <w:rFonts w:ascii="Arial" w:hAnsi="Arial" w:cs="Arial"/>
        </w:rPr>
        <w:t xml:space="preserve">Department of </w:t>
      </w:r>
      <w:r>
        <w:rPr>
          <w:rFonts w:ascii="Arial" w:hAnsi="Arial" w:cs="Arial"/>
        </w:rPr>
        <w:t>Petroleum Engineering, Texas A&amp;</w:t>
      </w:r>
      <w:r w:rsidRPr="003543C6">
        <w:rPr>
          <w:rFonts w:ascii="Arial" w:hAnsi="Arial" w:cs="Arial"/>
        </w:rPr>
        <w:t>M University at Qatar, Education City, Doha, Qatar</w:t>
      </w:r>
    </w:p>
    <w:p w:rsidR="003543C6" w:rsidRDefault="003543C6" w:rsidP="00BA7144">
      <w:pPr>
        <w:spacing w:after="0"/>
        <w:jc w:val="both"/>
        <w:rPr>
          <w:rFonts w:ascii="Arial" w:hAnsi="Arial" w:cs="Arial"/>
        </w:rPr>
      </w:pPr>
      <w:r w:rsidRPr="003543C6">
        <w:rPr>
          <w:rFonts w:ascii="Arial" w:hAnsi="Arial" w:cs="Arial"/>
          <w:vertAlign w:val="superscript"/>
        </w:rPr>
        <w:t>3</w:t>
      </w:r>
      <w:r w:rsidRPr="003543C6">
        <w:rPr>
          <w:rFonts w:ascii="Arial" w:hAnsi="Arial" w:cs="Arial"/>
        </w:rPr>
        <w:t>Hamburg University of Technology, Institute of Geo-</w:t>
      </w:r>
      <w:proofErr w:type="spellStart"/>
      <w:r w:rsidRPr="003543C6">
        <w:rPr>
          <w:rFonts w:ascii="Arial" w:hAnsi="Arial" w:cs="Arial"/>
        </w:rPr>
        <w:t>Hydroinformatics</w:t>
      </w:r>
      <w:proofErr w:type="spellEnd"/>
      <w:r w:rsidRPr="003543C6">
        <w:rPr>
          <w:rFonts w:ascii="Arial" w:hAnsi="Arial" w:cs="Arial"/>
        </w:rPr>
        <w:t>, Am Schwarzenberg-Campus 3 (E), 21073, Hamburg, Germany</w:t>
      </w:r>
      <w:bookmarkStart w:id="0" w:name="_GoBack"/>
      <w:bookmarkEnd w:id="0"/>
    </w:p>
    <w:p w:rsidR="003543C6" w:rsidRDefault="003543C6" w:rsidP="00BA7144">
      <w:pPr>
        <w:spacing w:after="0"/>
        <w:jc w:val="both"/>
        <w:rPr>
          <w:rFonts w:ascii="Arial" w:hAnsi="Arial" w:cs="Arial"/>
        </w:rPr>
      </w:pPr>
    </w:p>
    <w:p w:rsidR="00E82626" w:rsidRDefault="00E11FD2" w:rsidP="00BA7144">
      <w:pPr>
        <w:spacing w:after="0"/>
        <w:jc w:val="both"/>
        <w:rPr>
          <w:rFonts w:ascii="Arial" w:hAnsi="Arial" w:cs="Arial"/>
        </w:rPr>
      </w:pPr>
      <w:r w:rsidRPr="002E3AC2">
        <w:rPr>
          <w:rFonts w:ascii="Arial" w:hAnsi="Arial" w:cs="Arial"/>
        </w:rPr>
        <w:t>Leveraging high-fidelity lattice Boltzmann simulations</w:t>
      </w:r>
      <w:r w:rsidR="008D5DDA">
        <w:rPr>
          <w:rFonts w:ascii="Arial" w:hAnsi="Arial" w:cs="Arial"/>
        </w:rPr>
        <w:t xml:space="preserve"> (1,2)</w:t>
      </w:r>
      <w:r w:rsidRPr="002E3AC2">
        <w:rPr>
          <w:rFonts w:ascii="Arial" w:hAnsi="Arial" w:cs="Arial"/>
        </w:rPr>
        <w:t xml:space="preserve"> combined with analytical </w:t>
      </w:r>
      <w:proofErr w:type="spellStart"/>
      <w:r w:rsidRPr="002E3AC2">
        <w:rPr>
          <w:rFonts w:ascii="Arial" w:hAnsi="Arial" w:cs="Arial"/>
        </w:rPr>
        <w:t>modeling</w:t>
      </w:r>
      <w:proofErr w:type="spellEnd"/>
      <w:r w:rsidRPr="002E3AC2">
        <w:rPr>
          <w:rFonts w:ascii="Arial" w:hAnsi="Arial" w:cs="Arial"/>
        </w:rPr>
        <w:t>,</w:t>
      </w:r>
      <w:r w:rsidR="00E164F4" w:rsidRPr="002E3AC2">
        <w:rPr>
          <w:rFonts w:ascii="Arial" w:hAnsi="Arial" w:cs="Arial"/>
        </w:rPr>
        <w:t xml:space="preserve"> we investigate the interplay of surface wettability, small-scale heterogeneity of the pore geometry, and </w:t>
      </w:r>
      <w:r w:rsidR="00CF1D1E" w:rsidRPr="002E3AC2">
        <w:rPr>
          <w:rFonts w:ascii="Arial" w:hAnsi="Arial" w:cs="Arial"/>
        </w:rPr>
        <w:t>mobility condition</w:t>
      </w:r>
      <w:r w:rsidR="00F11924">
        <w:rPr>
          <w:rFonts w:ascii="Arial" w:hAnsi="Arial" w:cs="Arial"/>
        </w:rPr>
        <w:t>s</w:t>
      </w:r>
      <w:r w:rsidR="00E164F4" w:rsidRPr="002E3AC2">
        <w:rPr>
          <w:rFonts w:ascii="Arial" w:hAnsi="Arial" w:cs="Arial"/>
        </w:rPr>
        <w:t xml:space="preserve"> influencing the characteristics of immiscible two-phase fluid displacement</w:t>
      </w:r>
      <w:r w:rsidR="00E82626" w:rsidRPr="002E3AC2">
        <w:rPr>
          <w:rFonts w:ascii="Arial" w:hAnsi="Arial" w:cs="Arial"/>
        </w:rPr>
        <w:t xml:space="preserve"> in natural porous media</w:t>
      </w:r>
      <w:r w:rsidR="008D5DDA">
        <w:rPr>
          <w:rFonts w:ascii="Arial" w:hAnsi="Arial" w:cs="Arial"/>
        </w:rPr>
        <w:t xml:space="preserve"> (3)</w:t>
      </w:r>
      <w:r w:rsidR="00E82626" w:rsidRPr="002E3AC2">
        <w:rPr>
          <w:rFonts w:ascii="Arial" w:hAnsi="Arial" w:cs="Arial"/>
        </w:rPr>
        <w:t>.</w:t>
      </w:r>
      <w:r w:rsidR="00E164F4" w:rsidRPr="002E3AC2">
        <w:rPr>
          <w:rFonts w:ascii="Arial" w:hAnsi="Arial" w:cs="Arial"/>
        </w:rPr>
        <w:t xml:space="preserve"> </w:t>
      </w:r>
      <w:r w:rsidR="00BA291B" w:rsidRPr="002E3AC2">
        <w:rPr>
          <w:rFonts w:ascii="Arial" w:hAnsi="Arial" w:cs="Arial"/>
        </w:rPr>
        <w:t xml:space="preserve">We present a detailed pore-scale analysis of flow regimes occurring during </w:t>
      </w:r>
      <w:proofErr w:type="spellStart"/>
      <w:r w:rsidR="00BA291B" w:rsidRPr="002E3AC2">
        <w:rPr>
          <w:rFonts w:ascii="Arial" w:hAnsi="Arial" w:cs="Arial"/>
        </w:rPr>
        <w:t>favorable</w:t>
      </w:r>
      <w:proofErr w:type="spellEnd"/>
      <w:r w:rsidR="00BA291B" w:rsidRPr="002E3AC2">
        <w:rPr>
          <w:rFonts w:ascii="Arial" w:hAnsi="Arial" w:cs="Arial"/>
        </w:rPr>
        <w:t xml:space="preserve"> (</w:t>
      </w:r>
      <m:oMath>
        <m:r>
          <w:rPr>
            <w:rFonts w:ascii="Cambria Math" w:hAnsi="Cambria Math" w:cs="Arial"/>
          </w:rPr>
          <m:t>M&gt;1</m:t>
        </m:r>
      </m:oMath>
      <w:r w:rsidR="008A3BE0" w:rsidRPr="002E3AC2">
        <w:rPr>
          <w:rFonts w:ascii="Arial" w:hAnsi="Arial" w:cs="Arial"/>
        </w:rPr>
        <w:t>) and unfavorable (</w:t>
      </w:r>
      <m:oMath>
        <m:r>
          <w:rPr>
            <w:rFonts w:ascii="Cambria Math" w:hAnsi="Cambria Math" w:cs="Arial"/>
          </w:rPr>
          <m:t>M&lt;1</m:t>
        </m:r>
      </m:oMath>
      <w:r w:rsidR="00BA291B" w:rsidRPr="002E3AC2">
        <w:rPr>
          <w:rFonts w:ascii="Arial" w:hAnsi="Arial" w:cs="Arial"/>
        </w:rPr>
        <w:t>) displacement conditions in a rock sample of Tuscaloosa sandstone under a wide range of wettability (</w:t>
      </w:r>
      <m:oMath>
        <m:sSup>
          <m:sSupPr>
            <m:ctrlPr>
              <w:rPr>
                <w:rFonts w:ascii="Cambria Math" w:hAnsi="Cambria Math" w:cs="Arial"/>
                <w:i/>
              </w:rPr>
            </m:ctrlPr>
          </m:sSupPr>
          <m:e>
            <m:r>
              <w:rPr>
                <w:rFonts w:ascii="Cambria Math" w:hAnsi="Cambria Math" w:cs="Arial"/>
              </w:rPr>
              <m:t>25</m:t>
            </m:r>
          </m:e>
          <m:sup>
            <m:r>
              <w:rPr>
                <w:rFonts w:ascii="Cambria Math" w:hAnsi="Cambria Math" w:cs="Arial"/>
              </w:rPr>
              <m:t>°</m:t>
            </m:r>
          </m:sup>
        </m:sSup>
        <m:r>
          <w:rPr>
            <w:rFonts w:ascii="Cambria Math" w:hAnsi="Cambria Math" w:cs="Arial"/>
          </w:rPr>
          <m:t>&lt;θ&lt;</m:t>
        </m:r>
        <m:sSup>
          <m:sSupPr>
            <m:ctrlPr>
              <w:rPr>
                <w:rFonts w:ascii="Cambria Math" w:hAnsi="Cambria Math" w:cs="Arial"/>
                <w:i/>
              </w:rPr>
            </m:ctrlPr>
          </m:sSupPr>
          <m:e>
            <m:r>
              <w:rPr>
                <w:rFonts w:ascii="Cambria Math" w:hAnsi="Cambria Math" w:cs="Arial"/>
              </w:rPr>
              <m:t>175</m:t>
            </m:r>
          </m:e>
          <m:sup>
            <m:r>
              <w:rPr>
                <w:rFonts w:ascii="Cambria Math" w:hAnsi="Cambria Math" w:cs="Arial"/>
              </w:rPr>
              <m:t>°</m:t>
            </m:r>
          </m:sup>
        </m:sSup>
      </m:oMath>
      <w:r w:rsidR="00BA291B" w:rsidRPr="002E3AC2">
        <w:rPr>
          <w:rFonts w:ascii="Arial" w:hAnsi="Arial" w:cs="Arial"/>
        </w:rPr>
        <w:t xml:space="preserve">).  </w:t>
      </w:r>
      <w:r w:rsidR="00E82626" w:rsidRPr="002E3AC2">
        <w:rPr>
          <w:rFonts w:ascii="Arial" w:hAnsi="Arial" w:cs="Arial"/>
        </w:rPr>
        <w:t>As manifested by the saturation profile of invading fluid, we distinguished a transition of invasion morphology from fingering to compact (stable) displacement as the wetting</w:t>
      </w:r>
      <w:r w:rsidR="00C3791A" w:rsidRPr="002E3AC2">
        <w:rPr>
          <w:rFonts w:ascii="Arial" w:hAnsi="Arial" w:cs="Arial"/>
        </w:rPr>
        <w:t xml:space="preserve"> condition</w:t>
      </w:r>
      <w:r w:rsidR="00E82626" w:rsidRPr="002E3AC2">
        <w:rPr>
          <w:rFonts w:ascii="Arial" w:hAnsi="Arial" w:cs="Arial"/>
        </w:rPr>
        <w:t xml:space="preserve"> varies fro</w:t>
      </w:r>
      <w:r w:rsidR="00C3791A" w:rsidRPr="002E3AC2">
        <w:rPr>
          <w:rFonts w:ascii="Arial" w:hAnsi="Arial" w:cs="Arial"/>
        </w:rPr>
        <w:t xml:space="preserve">m drainage to strong imbibition under both </w:t>
      </w:r>
      <w:proofErr w:type="spellStart"/>
      <w:r w:rsidR="00F11924">
        <w:rPr>
          <w:rFonts w:ascii="Arial" w:hAnsi="Arial" w:cs="Arial"/>
        </w:rPr>
        <w:t>favo</w:t>
      </w:r>
      <w:r w:rsidR="00CF1D1E" w:rsidRPr="002E3AC2">
        <w:rPr>
          <w:rFonts w:ascii="Arial" w:hAnsi="Arial" w:cs="Arial"/>
        </w:rPr>
        <w:t>rable</w:t>
      </w:r>
      <w:proofErr w:type="spellEnd"/>
      <w:r w:rsidR="00CF1D1E" w:rsidRPr="002E3AC2">
        <w:rPr>
          <w:rFonts w:ascii="Arial" w:hAnsi="Arial" w:cs="Arial"/>
        </w:rPr>
        <w:t xml:space="preserve"> and </w:t>
      </w:r>
      <w:proofErr w:type="spellStart"/>
      <w:r w:rsidR="00CF1D1E" w:rsidRPr="002E3AC2">
        <w:rPr>
          <w:rFonts w:ascii="Arial" w:hAnsi="Arial" w:cs="Arial"/>
        </w:rPr>
        <w:t>unfavorable</w:t>
      </w:r>
      <w:proofErr w:type="spellEnd"/>
      <w:r w:rsidR="00CF1D1E" w:rsidRPr="002E3AC2">
        <w:rPr>
          <w:rFonts w:ascii="Arial" w:hAnsi="Arial" w:cs="Arial"/>
        </w:rPr>
        <w:t xml:space="preserve"> mobility condition</w:t>
      </w:r>
      <w:r w:rsidR="00F11924">
        <w:rPr>
          <w:rFonts w:ascii="Arial" w:hAnsi="Arial" w:cs="Arial"/>
        </w:rPr>
        <w:t>s</w:t>
      </w:r>
      <w:r w:rsidR="00CF1D1E" w:rsidRPr="002E3AC2">
        <w:rPr>
          <w:rFonts w:ascii="Arial" w:hAnsi="Arial" w:cs="Arial"/>
        </w:rPr>
        <w:t>. It becomes evident that the appearance of corner-flow plays a key role in the emergence of the transition zone in the displacement patterns. Furthermore, the corner-flow active zone is found to be mainly concentrated ahead of the primary invasion front and it is hetero</w:t>
      </w:r>
      <w:r w:rsidR="008A3BE0" w:rsidRPr="002E3AC2">
        <w:rPr>
          <w:rFonts w:ascii="Arial" w:hAnsi="Arial" w:cs="Arial"/>
        </w:rPr>
        <w:t xml:space="preserve">geneously distributed in the pore space, </w:t>
      </w:r>
      <w:r w:rsidR="00CF1D1E" w:rsidRPr="002E3AC2">
        <w:rPr>
          <w:rFonts w:ascii="Arial" w:hAnsi="Arial" w:cs="Arial"/>
        </w:rPr>
        <w:t xml:space="preserve">preferentially hosted by small pores. </w:t>
      </w:r>
      <w:r w:rsidR="008A3BE0" w:rsidRPr="002E3AC2">
        <w:rPr>
          <w:rFonts w:ascii="Arial" w:hAnsi="Arial" w:cs="Arial"/>
        </w:rPr>
        <w:t xml:space="preserve">It is found that the heterogeneous distribution of corner-flow events does not necessarily impose an adverse effect on the recovery of the defending fluid, as the maximum recovery efficiency is observed under the strong imbibition condition, where the corner flow is prevalent. In addition to numerical simulations, we derived an analytical model that can forecast the saturation profile of fluids as a function of wettability </w:t>
      </w:r>
      <w:r w:rsidR="00552B21" w:rsidRPr="00552B21">
        <w:rPr>
          <w:rFonts w:ascii="Arial" w:hAnsi="Arial" w:cs="Arial"/>
        </w:rPr>
        <w:t xml:space="preserve">under </w:t>
      </w:r>
      <w:r w:rsidR="008D5DDA">
        <w:rPr>
          <w:rFonts w:ascii="Arial" w:hAnsi="Arial" w:cs="Arial"/>
        </w:rPr>
        <w:t>different</w:t>
      </w:r>
      <w:r w:rsidR="008D5DDA" w:rsidRPr="00552B21">
        <w:rPr>
          <w:rFonts w:ascii="Arial" w:hAnsi="Arial" w:cs="Arial"/>
        </w:rPr>
        <w:t xml:space="preserve"> </w:t>
      </w:r>
      <w:r w:rsidR="00552B21" w:rsidRPr="00552B21">
        <w:rPr>
          <w:rFonts w:ascii="Arial" w:hAnsi="Arial" w:cs="Arial"/>
        </w:rPr>
        <w:t>boundary conditions</w:t>
      </w:r>
      <w:r w:rsidR="008A3BE0" w:rsidRPr="002E3AC2">
        <w:rPr>
          <w:rFonts w:ascii="Arial" w:hAnsi="Arial" w:cs="Arial"/>
        </w:rPr>
        <w:t xml:space="preserve">. The analytical model showed a reasonable </w:t>
      </w:r>
      <w:r w:rsidR="00552B21">
        <w:rPr>
          <w:rFonts w:ascii="Arial" w:hAnsi="Arial" w:cs="Arial"/>
        </w:rPr>
        <w:t>agreement</w:t>
      </w:r>
      <w:r w:rsidR="008A3BE0" w:rsidRPr="002E3AC2">
        <w:rPr>
          <w:rFonts w:ascii="Arial" w:hAnsi="Arial" w:cs="Arial"/>
        </w:rPr>
        <w:t xml:space="preserve"> with the numerical results and can be a useful</w:t>
      </w:r>
      <w:r w:rsidR="008D5DDA">
        <w:rPr>
          <w:rFonts w:ascii="Arial" w:hAnsi="Arial" w:cs="Arial"/>
        </w:rPr>
        <w:t xml:space="preserve"> diagnostic</w:t>
      </w:r>
      <w:r w:rsidR="008A3BE0" w:rsidRPr="002E3AC2">
        <w:rPr>
          <w:rFonts w:ascii="Arial" w:hAnsi="Arial" w:cs="Arial"/>
        </w:rPr>
        <w:t xml:space="preserve"> tool for optimizing the displacement process in porous media</w:t>
      </w:r>
      <w:r w:rsidR="008D5DDA">
        <w:rPr>
          <w:rFonts w:ascii="Arial" w:hAnsi="Arial" w:cs="Arial"/>
        </w:rPr>
        <w:t xml:space="preserve"> (4)</w:t>
      </w:r>
      <w:r w:rsidR="008A3BE0" w:rsidRPr="002E3AC2">
        <w:rPr>
          <w:rFonts w:ascii="Arial" w:hAnsi="Arial" w:cs="Arial"/>
        </w:rPr>
        <w:t>.</w:t>
      </w:r>
    </w:p>
    <w:p w:rsidR="00552B21" w:rsidRDefault="00552B21" w:rsidP="00BA7144">
      <w:pPr>
        <w:spacing w:after="0"/>
        <w:jc w:val="both"/>
        <w:rPr>
          <w:rFonts w:ascii="Arial" w:hAnsi="Arial" w:cs="Arial"/>
        </w:rPr>
      </w:pPr>
    </w:p>
    <w:p w:rsidR="00552B21" w:rsidRDefault="00552B21" w:rsidP="00BA7144">
      <w:pPr>
        <w:spacing w:after="0"/>
        <w:jc w:val="both"/>
        <w:rPr>
          <w:rFonts w:ascii="Arial" w:hAnsi="Arial" w:cs="Arial"/>
        </w:rPr>
      </w:pPr>
      <w:r w:rsidRPr="00BA7144">
        <w:rPr>
          <w:rFonts w:ascii="Arial" w:hAnsi="Arial" w:cs="Arial"/>
          <w:b/>
        </w:rPr>
        <w:t>Key words</w:t>
      </w:r>
      <w:r>
        <w:rPr>
          <w:rFonts w:ascii="Arial" w:hAnsi="Arial" w:cs="Arial"/>
        </w:rPr>
        <w:t xml:space="preserve">: </w:t>
      </w:r>
      <w:r w:rsidRPr="00552B21">
        <w:rPr>
          <w:rFonts w:ascii="Arial" w:hAnsi="Arial" w:cs="Arial"/>
        </w:rPr>
        <w:t>Por</w:t>
      </w:r>
      <w:r>
        <w:rPr>
          <w:rFonts w:ascii="Arial" w:hAnsi="Arial" w:cs="Arial"/>
        </w:rPr>
        <w:t xml:space="preserve">ous media, Heterogeneity, Two-phase flow, Wettability, </w:t>
      </w:r>
      <w:r w:rsidRPr="00552B21">
        <w:rPr>
          <w:rFonts w:ascii="Arial" w:hAnsi="Arial" w:cs="Arial"/>
        </w:rPr>
        <w:t xml:space="preserve">Lattice Boltzmann </w:t>
      </w:r>
      <w:proofErr w:type="spellStart"/>
      <w:r w:rsidRPr="00552B21">
        <w:rPr>
          <w:rFonts w:ascii="Arial" w:hAnsi="Arial" w:cs="Arial"/>
        </w:rPr>
        <w:t>modeling</w:t>
      </w:r>
      <w:proofErr w:type="spellEnd"/>
    </w:p>
    <w:p w:rsidR="00BA7144" w:rsidRDefault="00BA7144" w:rsidP="00BA7144">
      <w:pPr>
        <w:spacing w:after="0"/>
        <w:jc w:val="both"/>
        <w:rPr>
          <w:rFonts w:ascii="Arial" w:hAnsi="Arial" w:cs="Arial"/>
        </w:rPr>
      </w:pPr>
    </w:p>
    <w:p w:rsidR="00552B21" w:rsidRDefault="00552B21" w:rsidP="00BA7144">
      <w:pPr>
        <w:spacing w:after="0"/>
        <w:jc w:val="both"/>
        <w:rPr>
          <w:rFonts w:ascii="Arial" w:hAnsi="Arial" w:cs="Arial"/>
        </w:rPr>
      </w:pPr>
      <w:r w:rsidRPr="00BA7144">
        <w:rPr>
          <w:rFonts w:ascii="Arial" w:hAnsi="Arial" w:cs="Arial"/>
          <w:b/>
        </w:rPr>
        <w:t>References</w:t>
      </w:r>
    </w:p>
    <w:p w:rsidR="00BA7144" w:rsidRDefault="00BA7144" w:rsidP="00BA7144">
      <w:pPr>
        <w:spacing w:after="0"/>
        <w:jc w:val="both"/>
        <w:rPr>
          <w:rFonts w:ascii="Arial" w:hAnsi="Arial" w:cs="Arial"/>
        </w:rPr>
      </w:pPr>
      <w:r>
        <w:rPr>
          <w:rFonts w:ascii="Arial" w:hAnsi="Arial" w:cs="Arial"/>
        </w:rPr>
        <w:t xml:space="preserve">[1] </w:t>
      </w:r>
      <w:r w:rsidRPr="00BA7144">
        <w:rPr>
          <w:rFonts w:ascii="Arial" w:hAnsi="Arial" w:cs="Arial"/>
        </w:rPr>
        <w:t>S.</w:t>
      </w:r>
      <w:r>
        <w:rPr>
          <w:rFonts w:ascii="Arial" w:hAnsi="Arial" w:cs="Arial"/>
        </w:rPr>
        <w:t xml:space="preserve"> Bakhshian,</w:t>
      </w:r>
      <w:r w:rsidRPr="00BA7144">
        <w:rPr>
          <w:rFonts w:ascii="Arial" w:hAnsi="Arial" w:cs="Arial"/>
        </w:rPr>
        <w:t xml:space="preserve"> H. S.</w:t>
      </w:r>
      <w:r>
        <w:rPr>
          <w:rFonts w:ascii="Arial" w:hAnsi="Arial" w:cs="Arial"/>
        </w:rPr>
        <w:t xml:space="preserve"> </w:t>
      </w:r>
      <w:r w:rsidRPr="00BA7144">
        <w:rPr>
          <w:rFonts w:ascii="Arial" w:hAnsi="Arial" w:cs="Arial"/>
        </w:rPr>
        <w:t>Rabbani, S. A.</w:t>
      </w:r>
      <w:r>
        <w:rPr>
          <w:rFonts w:ascii="Arial" w:hAnsi="Arial" w:cs="Arial"/>
        </w:rPr>
        <w:t xml:space="preserve"> Hosseini </w:t>
      </w:r>
      <w:r w:rsidRPr="00BA7144">
        <w:rPr>
          <w:rFonts w:ascii="Arial" w:hAnsi="Arial" w:cs="Arial"/>
        </w:rPr>
        <w:t xml:space="preserve">&amp; </w:t>
      </w:r>
      <w:r>
        <w:rPr>
          <w:rFonts w:ascii="Arial" w:hAnsi="Arial" w:cs="Arial"/>
        </w:rPr>
        <w:t xml:space="preserve">N. Shokri, </w:t>
      </w:r>
      <w:r w:rsidRPr="00BA7144">
        <w:rPr>
          <w:rFonts w:ascii="Arial" w:hAnsi="Arial" w:cs="Arial"/>
        </w:rPr>
        <w:t>New insights into complex interactions between heterogeneity and wettability influencing two</w:t>
      </w:r>
      <w:r w:rsidRPr="00BA7144">
        <w:rPr>
          <w:rFonts w:ascii="Cambria Math" w:hAnsi="Cambria Math" w:cs="Cambria Math"/>
        </w:rPr>
        <w:t>‐</w:t>
      </w:r>
      <w:r w:rsidRPr="00BA7144">
        <w:rPr>
          <w:rFonts w:ascii="Arial" w:hAnsi="Arial" w:cs="Arial"/>
        </w:rPr>
        <w:t>phase flow in porous media. Geophysical Research Letters, 47(14), e2020GL088187</w:t>
      </w:r>
      <w:r>
        <w:rPr>
          <w:rFonts w:ascii="Arial" w:hAnsi="Arial" w:cs="Arial"/>
        </w:rPr>
        <w:t xml:space="preserve"> </w:t>
      </w:r>
      <w:r w:rsidRPr="00BA7144">
        <w:rPr>
          <w:rFonts w:ascii="Arial" w:hAnsi="Arial" w:cs="Arial"/>
        </w:rPr>
        <w:t>(2020).</w:t>
      </w:r>
    </w:p>
    <w:p w:rsidR="00552B21" w:rsidRDefault="00552B21" w:rsidP="00BA7144">
      <w:pPr>
        <w:spacing w:after="0"/>
        <w:jc w:val="both"/>
        <w:rPr>
          <w:rFonts w:ascii="Arial" w:hAnsi="Arial" w:cs="Arial"/>
        </w:rPr>
      </w:pPr>
      <w:r w:rsidRPr="00552B21">
        <w:rPr>
          <w:rFonts w:ascii="Arial" w:hAnsi="Arial" w:cs="Arial"/>
        </w:rPr>
        <w:t>[</w:t>
      </w:r>
      <w:r w:rsidR="008D5DDA">
        <w:rPr>
          <w:rFonts w:ascii="Arial" w:hAnsi="Arial" w:cs="Arial"/>
        </w:rPr>
        <w:t>2</w:t>
      </w:r>
      <w:r w:rsidRPr="00552B21">
        <w:rPr>
          <w:rFonts w:ascii="Arial" w:hAnsi="Arial" w:cs="Arial"/>
        </w:rPr>
        <w:t xml:space="preserve">] S. Bakhshian, S. A. Hosseini, N. Shokri, Pore-scale characteristics of multiphase </w:t>
      </w:r>
      <w:r w:rsidR="00BA7144" w:rsidRPr="00552B21">
        <w:rPr>
          <w:rFonts w:ascii="Arial" w:hAnsi="Arial" w:cs="Arial"/>
        </w:rPr>
        <w:t>flow in heterogeneous porous media using the lattice Boltzmann</w:t>
      </w:r>
      <w:r w:rsidRPr="00552B21">
        <w:rPr>
          <w:rFonts w:ascii="Arial" w:hAnsi="Arial" w:cs="Arial"/>
        </w:rPr>
        <w:t xml:space="preserve"> </w:t>
      </w:r>
      <w:r w:rsidR="00BA7144" w:rsidRPr="00552B21">
        <w:rPr>
          <w:rFonts w:ascii="Arial" w:hAnsi="Arial" w:cs="Arial"/>
        </w:rPr>
        <w:t>method, Scientific Reports</w:t>
      </w:r>
      <w:r w:rsidR="00BA7144">
        <w:rPr>
          <w:rFonts w:ascii="Arial" w:hAnsi="Arial" w:cs="Arial"/>
        </w:rPr>
        <w:t>,</w:t>
      </w:r>
      <w:r w:rsidR="00BA7144" w:rsidRPr="00552B21">
        <w:rPr>
          <w:rFonts w:ascii="Arial" w:hAnsi="Arial" w:cs="Arial"/>
        </w:rPr>
        <w:t xml:space="preserve"> 9 2045</w:t>
      </w:r>
      <w:r w:rsidRPr="00552B21">
        <w:rPr>
          <w:rFonts w:ascii="Arial" w:hAnsi="Arial" w:cs="Arial"/>
        </w:rPr>
        <w:t>–</w:t>
      </w:r>
      <w:r w:rsidR="00BA7144" w:rsidRPr="00552B21">
        <w:rPr>
          <w:rFonts w:ascii="Arial" w:hAnsi="Arial" w:cs="Arial"/>
        </w:rPr>
        <w:t>2322 (</w:t>
      </w:r>
      <w:r w:rsidRPr="00552B21">
        <w:rPr>
          <w:rFonts w:ascii="Arial" w:hAnsi="Arial" w:cs="Arial"/>
        </w:rPr>
        <w:t>2019).</w:t>
      </w:r>
    </w:p>
    <w:p w:rsidR="008D5DDA" w:rsidRDefault="008D5DDA" w:rsidP="00BA7144">
      <w:pPr>
        <w:spacing w:after="0"/>
        <w:jc w:val="both"/>
        <w:rPr>
          <w:rFonts w:ascii="Arial" w:hAnsi="Arial" w:cs="Arial"/>
        </w:rPr>
      </w:pPr>
      <w:r w:rsidRPr="00552B21">
        <w:rPr>
          <w:rFonts w:ascii="Arial" w:hAnsi="Arial" w:cs="Arial"/>
        </w:rPr>
        <w:t>[</w:t>
      </w:r>
      <w:r>
        <w:rPr>
          <w:rFonts w:ascii="Arial" w:hAnsi="Arial" w:cs="Arial"/>
        </w:rPr>
        <w:t>3</w:t>
      </w:r>
      <w:r w:rsidRPr="00552B21">
        <w:rPr>
          <w:rFonts w:ascii="Arial" w:hAnsi="Arial" w:cs="Arial"/>
        </w:rPr>
        <w:t xml:space="preserve">] H. S. Rabbani, B. Zhao, R. </w:t>
      </w:r>
      <w:proofErr w:type="spellStart"/>
      <w:r w:rsidRPr="00552B21">
        <w:rPr>
          <w:rFonts w:ascii="Arial" w:hAnsi="Arial" w:cs="Arial"/>
        </w:rPr>
        <w:t>Juanes</w:t>
      </w:r>
      <w:proofErr w:type="spellEnd"/>
      <w:r w:rsidRPr="00552B21">
        <w:rPr>
          <w:rFonts w:ascii="Arial" w:hAnsi="Arial" w:cs="Arial"/>
        </w:rPr>
        <w:t>, N. Shokri, Pore geometry control of apparent wetting in poro</w:t>
      </w:r>
      <w:r>
        <w:rPr>
          <w:rFonts w:ascii="Arial" w:hAnsi="Arial" w:cs="Arial"/>
        </w:rPr>
        <w:t xml:space="preserve">us media, Scientific Reports, 8 </w:t>
      </w:r>
      <w:r w:rsidRPr="00552B21">
        <w:rPr>
          <w:rFonts w:ascii="Arial" w:hAnsi="Arial" w:cs="Arial"/>
        </w:rPr>
        <w:t>Article number:448 15729 (2018).</w:t>
      </w:r>
    </w:p>
    <w:p w:rsidR="008D5DDA" w:rsidRPr="00552B21" w:rsidRDefault="008D5DDA" w:rsidP="00BA7144">
      <w:pPr>
        <w:spacing w:after="0"/>
        <w:jc w:val="both"/>
        <w:rPr>
          <w:rFonts w:ascii="Arial" w:hAnsi="Arial" w:cs="Arial"/>
        </w:rPr>
      </w:pPr>
      <w:r w:rsidRPr="00552B21">
        <w:rPr>
          <w:rFonts w:ascii="Arial" w:hAnsi="Arial" w:cs="Arial"/>
        </w:rPr>
        <w:t>[</w:t>
      </w:r>
      <w:r>
        <w:rPr>
          <w:rFonts w:ascii="Arial" w:hAnsi="Arial" w:cs="Arial"/>
        </w:rPr>
        <w:t>4</w:t>
      </w:r>
      <w:r w:rsidRPr="00552B21">
        <w:rPr>
          <w:rFonts w:ascii="Arial" w:hAnsi="Arial" w:cs="Arial"/>
        </w:rPr>
        <w:t>] S. Bakhshian, S. A. Hosseini, Pore-scale analysis of supercritical CO</w:t>
      </w:r>
      <w:r w:rsidRPr="00BA7144">
        <w:rPr>
          <w:rFonts w:ascii="Arial" w:hAnsi="Arial" w:cs="Arial"/>
          <w:vertAlign w:val="subscript"/>
        </w:rPr>
        <w:t>2</w:t>
      </w:r>
      <w:r w:rsidRPr="00552B21">
        <w:rPr>
          <w:rFonts w:ascii="Arial" w:hAnsi="Arial" w:cs="Arial"/>
        </w:rPr>
        <w:t>-brine immiscible displacement under fractional-wettability conditions, Advances in Water Resources 126 96–107 (2019).</w:t>
      </w:r>
    </w:p>
    <w:p w:rsidR="00E82626" w:rsidRPr="002E3AC2" w:rsidRDefault="00E82626" w:rsidP="00BA7144">
      <w:pPr>
        <w:spacing w:after="0"/>
        <w:jc w:val="both"/>
        <w:rPr>
          <w:rFonts w:ascii="Arial" w:hAnsi="Arial" w:cs="Arial"/>
        </w:rPr>
      </w:pPr>
    </w:p>
    <w:p w:rsidR="00E82626" w:rsidRPr="002E3AC2" w:rsidRDefault="00E82626" w:rsidP="00BA7144">
      <w:pPr>
        <w:spacing w:after="0"/>
        <w:jc w:val="both"/>
        <w:rPr>
          <w:rFonts w:ascii="Arial" w:hAnsi="Arial" w:cs="Arial"/>
        </w:rPr>
      </w:pPr>
    </w:p>
    <w:sectPr w:rsidR="00E82626" w:rsidRPr="002E3A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2B"/>
    <w:rsid w:val="000A3F88"/>
    <w:rsid w:val="001128F5"/>
    <w:rsid w:val="002E3AC2"/>
    <w:rsid w:val="003543C6"/>
    <w:rsid w:val="003F211F"/>
    <w:rsid w:val="00552B21"/>
    <w:rsid w:val="005C025E"/>
    <w:rsid w:val="00665048"/>
    <w:rsid w:val="008A3BE0"/>
    <w:rsid w:val="008D5DDA"/>
    <w:rsid w:val="00B352DE"/>
    <w:rsid w:val="00BA291B"/>
    <w:rsid w:val="00BA7144"/>
    <w:rsid w:val="00C3791A"/>
    <w:rsid w:val="00CD492B"/>
    <w:rsid w:val="00CF1D1E"/>
    <w:rsid w:val="00D01A95"/>
    <w:rsid w:val="00D8133D"/>
    <w:rsid w:val="00E11FD2"/>
    <w:rsid w:val="00E164F4"/>
    <w:rsid w:val="00E82626"/>
    <w:rsid w:val="00F11924"/>
    <w:rsid w:val="00FC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681"/>
  <w15:chartTrackingRefBased/>
  <w15:docId w15:val="{5D39B75B-D1B2-4AB8-A885-0E0AAB71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Bakhshian</dc:creator>
  <cp:keywords/>
  <dc:description/>
  <cp:lastModifiedBy>Sahar Bakhshian</cp:lastModifiedBy>
  <cp:revision>4</cp:revision>
  <dcterms:created xsi:type="dcterms:W3CDTF">2021-02-04T14:21:00Z</dcterms:created>
  <dcterms:modified xsi:type="dcterms:W3CDTF">2021-02-07T18:46:00Z</dcterms:modified>
</cp:coreProperties>
</file>